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5F9EE" w14:textId="0EECA02F" w:rsidR="00A00151" w:rsidRPr="00005B30" w:rsidRDefault="00A00151" w:rsidP="00A00151">
      <w:pPr>
        <w:tabs>
          <w:tab w:val="left" w:pos="142"/>
          <w:tab w:val="left" w:pos="284"/>
        </w:tabs>
        <w:spacing w:after="0" w:line="240" w:lineRule="auto"/>
        <w:contextualSpacing/>
        <w:jc w:val="right"/>
        <w:rPr>
          <w:rFonts w:ascii="Times New Roman" w:hAnsi="Times New Roman" w:cs="Times New Roman"/>
          <w:snapToGrid w:val="0"/>
          <w:sz w:val="20"/>
          <w:szCs w:val="20"/>
          <w:lang w:val="es-CO"/>
        </w:rPr>
      </w:pPr>
      <w:bookmarkStart w:id="0" w:name="_Hlk43045846"/>
      <w:r w:rsidRPr="00005B30">
        <w:rPr>
          <w:rFonts w:ascii="Times New Roman" w:hAnsi="Times New Roman" w:cs="Times New Roman"/>
          <w:snapToGrid w:val="0"/>
          <w:sz w:val="20"/>
          <w:szCs w:val="20"/>
          <w:lang w:val="es-CO"/>
        </w:rPr>
        <w:t>Lima, 1</w:t>
      </w:r>
      <w:r>
        <w:rPr>
          <w:rFonts w:ascii="Times New Roman" w:hAnsi="Times New Roman" w:cs="Times New Roman"/>
          <w:snapToGrid w:val="0"/>
          <w:sz w:val="20"/>
          <w:szCs w:val="20"/>
          <w:lang w:val="es-CO"/>
        </w:rPr>
        <w:t>5</w:t>
      </w:r>
      <w:r w:rsidRPr="00005B30">
        <w:rPr>
          <w:rFonts w:ascii="Times New Roman" w:hAnsi="Times New Roman" w:cs="Times New Roman"/>
          <w:snapToGrid w:val="0"/>
          <w:sz w:val="20"/>
          <w:szCs w:val="20"/>
          <w:lang w:val="es-CO"/>
        </w:rPr>
        <w:t xml:space="preserve"> de junio de 2020</w:t>
      </w:r>
    </w:p>
    <w:p w14:paraId="3951CF91" w14:textId="77777777" w:rsidR="00A00151" w:rsidRPr="00005B30" w:rsidRDefault="00A00151" w:rsidP="00A00151">
      <w:pPr>
        <w:pStyle w:val="Sinespaciado"/>
        <w:tabs>
          <w:tab w:val="left" w:pos="142"/>
          <w:tab w:val="left" w:pos="284"/>
        </w:tabs>
        <w:contextualSpacing/>
        <w:rPr>
          <w:rFonts w:ascii="Times New Roman" w:hAnsi="Times New Roman" w:cs="Times New Roman"/>
          <w:b/>
          <w:snapToGrid w:val="0"/>
          <w:sz w:val="20"/>
          <w:szCs w:val="20"/>
          <w:lang w:val="es-CO"/>
        </w:rPr>
      </w:pPr>
    </w:p>
    <w:p w14:paraId="1294B8AF" w14:textId="77777777" w:rsidR="00A00151" w:rsidRPr="00005B30" w:rsidRDefault="00A00151" w:rsidP="00A00151">
      <w:pPr>
        <w:pStyle w:val="Sinespaciado"/>
        <w:tabs>
          <w:tab w:val="left" w:pos="142"/>
          <w:tab w:val="left" w:pos="284"/>
        </w:tabs>
        <w:contextualSpacing/>
        <w:rPr>
          <w:rFonts w:ascii="Times New Roman" w:hAnsi="Times New Roman" w:cs="Times New Roman"/>
          <w:b/>
          <w:snapToGrid w:val="0"/>
          <w:sz w:val="20"/>
          <w:szCs w:val="20"/>
          <w:lang w:val="es-CO"/>
        </w:rPr>
      </w:pPr>
    </w:p>
    <w:p w14:paraId="6E7DBE3B" w14:textId="77777777" w:rsidR="00A00151" w:rsidRPr="00005B30" w:rsidRDefault="00A00151" w:rsidP="00A00151">
      <w:pPr>
        <w:pStyle w:val="Sinespaciado"/>
        <w:tabs>
          <w:tab w:val="left" w:pos="142"/>
          <w:tab w:val="left" w:pos="284"/>
        </w:tabs>
        <w:contextualSpacing/>
        <w:rPr>
          <w:rFonts w:ascii="Times New Roman" w:hAnsi="Times New Roman" w:cs="Times New Roman"/>
          <w:b/>
          <w:snapToGrid w:val="0"/>
          <w:sz w:val="20"/>
          <w:szCs w:val="20"/>
          <w:lang w:val="es-CO"/>
        </w:rPr>
      </w:pPr>
      <w:r w:rsidRPr="00005B30">
        <w:rPr>
          <w:rFonts w:ascii="Times New Roman" w:hAnsi="Times New Roman" w:cs="Times New Roman"/>
          <w:b/>
          <w:snapToGrid w:val="0"/>
          <w:sz w:val="20"/>
          <w:szCs w:val="20"/>
          <w:lang w:val="es-CO"/>
        </w:rPr>
        <w:t>Comité para la Eliminación de la Discriminación contra la Mujer</w:t>
      </w:r>
    </w:p>
    <w:p w14:paraId="68F7C129" w14:textId="77777777" w:rsidR="00A00151" w:rsidRPr="00005B30" w:rsidRDefault="00A00151" w:rsidP="00A00151">
      <w:pPr>
        <w:pStyle w:val="Sinespaciado"/>
        <w:tabs>
          <w:tab w:val="left" w:pos="142"/>
          <w:tab w:val="left" w:pos="284"/>
        </w:tabs>
        <w:contextualSpacing/>
        <w:rPr>
          <w:rFonts w:ascii="Times New Roman" w:hAnsi="Times New Roman" w:cs="Times New Roman"/>
          <w:snapToGrid w:val="0"/>
          <w:sz w:val="20"/>
          <w:szCs w:val="20"/>
          <w:lang w:val="es-CO"/>
        </w:rPr>
      </w:pPr>
      <w:r w:rsidRPr="00005B30">
        <w:rPr>
          <w:rFonts w:ascii="Times New Roman" w:hAnsi="Times New Roman" w:cs="Times New Roman"/>
          <w:snapToGrid w:val="0"/>
          <w:sz w:val="20"/>
          <w:szCs w:val="20"/>
          <w:lang w:val="es-CO"/>
        </w:rPr>
        <w:t>Oficina del Alto Comisionado para los Derechos Humanos</w:t>
      </w:r>
    </w:p>
    <w:p w14:paraId="03BA391C" w14:textId="77777777" w:rsidR="00A00151" w:rsidRPr="00005B30" w:rsidRDefault="00A00151" w:rsidP="00A00151">
      <w:pPr>
        <w:pStyle w:val="Sinespaciado"/>
        <w:tabs>
          <w:tab w:val="left" w:pos="142"/>
          <w:tab w:val="left" w:pos="284"/>
        </w:tabs>
        <w:contextualSpacing/>
        <w:rPr>
          <w:rFonts w:ascii="Times New Roman" w:hAnsi="Times New Roman" w:cs="Times New Roman"/>
          <w:snapToGrid w:val="0"/>
          <w:sz w:val="20"/>
          <w:szCs w:val="20"/>
          <w:lang w:val="fr-FR"/>
        </w:rPr>
      </w:pPr>
      <w:r w:rsidRPr="00005B30">
        <w:rPr>
          <w:rFonts w:ascii="Times New Roman" w:hAnsi="Times New Roman" w:cs="Times New Roman"/>
          <w:snapToGrid w:val="0"/>
          <w:sz w:val="20"/>
          <w:szCs w:val="20"/>
          <w:lang w:val="fr-FR"/>
        </w:rPr>
        <w:t>Palais Wilson</w:t>
      </w:r>
    </w:p>
    <w:p w14:paraId="1A2D9A47" w14:textId="77777777" w:rsidR="00A00151" w:rsidRPr="00005B30" w:rsidRDefault="00A00151" w:rsidP="00A00151">
      <w:pPr>
        <w:pStyle w:val="Sinespaciado"/>
        <w:tabs>
          <w:tab w:val="left" w:pos="142"/>
          <w:tab w:val="left" w:pos="284"/>
        </w:tabs>
        <w:contextualSpacing/>
        <w:rPr>
          <w:rFonts w:ascii="Times New Roman" w:hAnsi="Times New Roman" w:cs="Times New Roman"/>
          <w:snapToGrid w:val="0"/>
          <w:sz w:val="20"/>
          <w:szCs w:val="20"/>
          <w:lang w:val="fr-FR"/>
        </w:rPr>
      </w:pPr>
      <w:r w:rsidRPr="00005B30">
        <w:rPr>
          <w:rFonts w:ascii="Times New Roman" w:hAnsi="Times New Roman" w:cs="Times New Roman"/>
          <w:snapToGrid w:val="0"/>
          <w:sz w:val="20"/>
          <w:szCs w:val="20"/>
          <w:lang w:val="fr-FR"/>
        </w:rPr>
        <w:t>52, rue des Pâquis</w:t>
      </w:r>
    </w:p>
    <w:p w14:paraId="6284449F" w14:textId="77777777" w:rsidR="00A00151" w:rsidRDefault="00A00151" w:rsidP="00A00151">
      <w:pPr>
        <w:pStyle w:val="Sinespaciado"/>
        <w:tabs>
          <w:tab w:val="left" w:pos="142"/>
          <w:tab w:val="left" w:pos="284"/>
        </w:tabs>
        <w:contextualSpacing/>
        <w:rPr>
          <w:rFonts w:ascii="Times New Roman" w:hAnsi="Times New Roman" w:cs="Times New Roman"/>
          <w:snapToGrid w:val="0"/>
          <w:sz w:val="20"/>
          <w:szCs w:val="20"/>
          <w:lang w:val="fr-FR"/>
        </w:rPr>
      </w:pPr>
      <w:r w:rsidRPr="00005B30">
        <w:rPr>
          <w:rFonts w:ascii="Times New Roman" w:hAnsi="Times New Roman" w:cs="Times New Roman"/>
          <w:snapToGrid w:val="0"/>
          <w:sz w:val="20"/>
          <w:szCs w:val="20"/>
          <w:lang w:val="fr-FR"/>
        </w:rPr>
        <w:t xml:space="preserve">CH-1211 </w:t>
      </w:r>
      <w:proofErr w:type="spellStart"/>
      <w:r w:rsidRPr="00005B30">
        <w:rPr>
          <w:rFonts w:ascii="Times New Roman" w:hAnsi="Times New Roman" w:cs="Times New Roman"/>
          <w:snapToGrid w:val="0"/>
          <w:sz w:val="20"/>
          <w:szCs w:val="20"/>
          <w:lang w:val="fr-FR"/>
        </w:rPr>
        <w:t>Ginebra</w:t>
      </w:r>
      <w:proofErr w:type="spellEnd"/>
      <w:r w:rsidRPr="00005B30">
        <w:rPr>
          <w:rFonts w:ascii="Times New Roman" w:hAnsi="Times New Roman" w:cs="Times New Roman"/>
          <w:snapToGrid w:val="0"/>
          <w:sz w:val="20"/>
          <w:szCs w:val="20"/>
          <w:lang w:val="fr-FR"/>
        </w:rPr>
        <w:t xml:space="preserve"> 10, </w:t>
      </w:r>
      <w:proofErr w:type="spellStart"/>
      <w:r w:rsidRPr="00005B30">
        <w:rPr>
          <w:rFonts w:ascii="Times New Roman" w:hAnsi="Times New Roman" w:cs="Times New Roman"/>
          <w:snapToGrid w:val="0"/>
          <w:sz w:val="20"/>
          <w:szCs w:val="20"/>
          <w:lang w:val="fr-FR"/>
        </w:rPr>
        <w:t>Suiza</w:t>
      </w:r>
      <w:proofErr w:type="spellEnd"/>
    </w:p>
    <w:p w14:paraId="074975C3" w14:textId="77777777" w:rsidR="00A00151" w:rsidRDefault="00A00151" w:rsidP="00A00151">
      <w:pPr>
        <w:pStyle w:val="Sinespaciado"/>
        <w:tabs>
          <w:tab w:val="left" w:pos="142"/>
          <w:tab w:val="left" w:pos="284"/>
        </w:tabs>
        <w:contextualSpacing/>
        <w:rPr>
          <w:rFonts w:ascii="Times New Roman" w:hAnsi="Times New Roman" w:cs="Times New Roman"/>
          <w:snapToGrid w:val="0"/>
          <w:sz w:val="20"/>
          <w:szCs w:val="20"/>
          <w:lang w:val="fr-FR"/>
        </w:rPr>
      </w:pPr>
    </w:p>
    <w:p w14:paraId="28375FD5" w14:textId="77777777" w:rsidR="00A00151" w:rsidRPr="00005B30" w:rsidRDefault="00A00151" w:rsidP="00A00151">
      <w:pPr>
        <w:pStyle w:val="Sinespaciado"/>
        <w:tabs>
          <w:tab w:val="left" w:pos="142"/>
          <w:tab w:val="left" w:pos="284"/>
        </w:tabs>
        <w:contextualSpacing/>
        <w:rPr>
          <w:rFonts w:ascii="Times New Roman" w:hAnsi="Times New Roman" w:cs="Times New Roman"/>
          <w:snapToGrid w:val="0"/>
          <w:sz w:val="20"/>
          <w:szCs w:val="20"/>
          <w:lang w:val="fr-FR"/>
        </w:rPr>
      </w:pPr>
    </w:p>
    <w:p w14:paraId="6F642560" w14:textId="77777777" w:rsidR="00A00151" w:rsidRPr="00005B30" w:rsidRDefault="00A00151" w:rsidP="00A00151">
      <w:pPr>
        <w:tabs>
          <w:tab w:val="left" w:pos="142"/>
          <w:tab w:val="left" w:pos="284"/>
        </w:tabs>
        <w:spacing w:after="0" w:line="240" w:lineRule="auto"/>
        <w:contextualSpacing/>
        <w:jc w:val="both"/>
        <w:rPr>
          <w:rFonts w:ascii="Times New Roman" w:eastAsia="Times New Roman" w:hAnsi="Times New Roman" w:cs="Times New Roman"/>
          <w:b/>
          <w:bCs/>
          <w:snapToGrid w:val="0"/>
          <w:sz w:val="20"/>
          <w:szCs w:val="20"/>
          <w:lang w:val="fr-FR"/>
        </w:rPr>
      </w:pPr>
    </w:p>
    <w:p w14:paraId="6FFABA26" w14:textId="77777777" w:rsidR="00A00151" w:rsidRPr="00005B30" w:rsidRDefault="00A00151" w:rsidP="00A00151">
      <w:pPr>
        <w:tabs>
          <w:tab w:val="left" w:pos="142"/>
          <w:tab w:val="left" w:pos="284"/>
        </w:tabs>
        <w:spacing w:after="0" w:line="240" w:lineRule="auto"/>
        <w:ind w:left="567"/>
        <w:contextualSpacing/>
        <w:jc w:val="both"/>
        <w:rPr>
          <w:rFonts w:ascii="Times New Roman" w:hAnsi="Times New Roman" w:cs="Times New Roman"/>
          <w:b/>
          <w:bCs/>
          <w:sz w:val="20"/>
          <w:szCs w:val="20"/>
          <w:lang w:val="es-CO"/>
        </w:rPr>
      </w:pPr>
      <w:r w:rsidRPr="00005B30">
        <w:rPr>
          <w:rFonts w:ascii="Times New Roman" w:eastAsia="Times New Roman" w:hAnsi="Times New Roman" w:cs="Times New Roman"/>
          <w:b/>
          <w:bCs/>
          <w:snapToGrid w:val="0"/>
          <w:sz w:val="20"/>
          <w:szCs w:val="20"/>
          <w:lang w:val="es-CO"/>
        </w:rPr>
        <w:t xml:space="preserve">Re: Información independiente para </w:t>
      </w:r>
      <w:r w:rsidRPr="00005B30">
        <w:rPr>
          <w:rFonts w:ascii="Times New Roman" w:eastAsia="Times New Roman" w:hAnsi="Times New Roman" w:cs="Times New Roman"/>
          <w:b/>
          <w:bCs/>
          <w:snapToGrid w:val="0"/>
          <w:sz w:val="20"/>
          <w:szCs w:val="20"/>
          <w:lang w:val="es-ES_tradnl"/>
        </w:rPr>
        <w:t>el grupo de trabajo anterior al 78° período de sesiones</w:t>
      </w:r>
      <w:r w:rsidRPr="00005B30">
        <w:rPr>
          <w:rFonts w:ascii="Times New Roman" w:hAnsi="Times New Roman" w:cs="Times New Roman"/>
          <w:b/>
          <w:bCs/>
          <w:sz w:val="20"/>
          <w:szCs w:val="20"/>
          <w:lang w:val="es-CO"/>
        </w:rPr>
        <w:t xml:space="preserve"> del Comité para la Eliminación de la Discriminación contra la Mujer</w:t>
      </w:r>
    </w:p>
    <w:p w14:paraId="7B312544" w14:textId="77777777" w:rsidR="00A00151" w:rsidRPr="00005B30" w:rsidRDefault="00A00151" w:rsidP="00A00151">
      <w:pPr>
        <w:tabs>
          <w:tab w:val="left" w:pos="142"/>
          <w:tab w:val="left" w:pos="284"/>
        </w:tabs>
        <w:spacing w:after="0" w:line="240" w:lineRule="auto"/>
        <w:contextualSpacing/>
        <w:jc w:val="both"/>
        <w:rPr>
          <w:rFonts w:ascii="Times New Roman" w:hAnsi="Times New Roman" w:cs="Times New Roman"/>
          <w:b/>
          <w:bCs/>
          <w:sz w:val="20"/>
          <w:szCs w:val="20"/>
          <w:lang w:val="es-CO"/>
        </w:rPr>
      </w:pPr>
    </w:p>
    <w:p w14:paraId="1966F935" w14:textId="3D2C0510" w:rsidR="00A00151" w:rsidRPr="0085452B" w:rsidRDefault="00A00151" w:rsidP="00A00151">
      <w:pPr>
        <w:spacing w:after="0" w:line="240" w:lineRule="auto"/>
        <w:contextualSpacing/>
        <w:jc w:val="both"/>
        <w:rPr>
          <w:rFonts w:ascii="Times New Roman" w:hAnsi="Times New Roman" w:cs="Times New Roman"/>
          <w:sz w:val="20"/>
          <w:szCs w:val="20"/>
        </w:rPr>
      </w:pPr>
      <w:r w:rsidRPr="00005B30">
        <w:rPr>
          <w:rFonts w:ascii="Times New Roman" w:eastAsia="Times New Roman" w:hAnsi="Times New Roman" w:cs="Times New Roman"/>
          <w:snapToGrid w:val="0"/>
          <w:sz w:val="20"/>
          <w:szCs w:val="20"/>
          <w:lang w:val="es-CO"/>
        </w:rPr>
        <w:t xml:space="preserve">Distinguidos Miembros del </w:t>
      </w:r>
      <w:r w:rsidRPr="00005B30">
        <w:rPr>
          <w:rFonts w:ascii="Times New Roman" w:hAnsi="Times New Roman" w:cs="Times New Roman"/>
          <w:b/>
          <w:snapToGrid w:val="0"/>
          <w:sz w:val="20"/>
          <w:szCs w:val="20"/>
          <w:lang w:val="es-CO"/>
        </w:rPr>
        <w:t xml:space="preserve">Comité para la Eliminación de la Discriminación contra la Mujer </w:t>
      </w:r>
      <w:r w:rsidRPr="00005B30">
        <w:rPr>
          <w:rFonts w:ascii="Times New Roman" w:eastAsia="Times New Roman" w:hAnsi="Times New Roman" w:cs="Times New Roman"/>
          <w:snapToGrid w:val="0"/>
          <w:sz w:val="20"/>
          <w:szCs w:val="20"/>
          <w:lang w:val="es-CO"/>
        </w:rPr>
        <w:t>(en adelante “Comité” o “Comité CEDAW”), el</w:t>
      </w:r>
      <w:r w:rsidRPr="00005B30">
        <w:rPr>
          <w:rFonts w:ascii="Times New Roman" w:eastAsia="Times New Roman" w:hAnsi="Times New Roman" w:cs="Times New Roman"/>
          <w:b/>
          <w:bCs/>
          <w:snapToGrid w:val="0"/>
          <w:sz w:val="20"/>
          <w:szCs w:val="20"/>
          <w:lang w:val="es-CO"/>
        </w:rPr>
        <w:t xml:space="preserve"> Centro de Promoción y Defensa de los Derechos Sexuales y Reproductivos</w:t>
      </w:r>
      <w:r w:rsidRPr="00005B30">
        <w:rPr>
          <w:rFonts w:ascii="Times New Roman" w:eastAsia="Times New Roman" w:hAnsi="Times New Roman" w:cs="Times New Roman"/>
          <w:snapToGrid w:val="0"/>
          <w:sz w:val="20"/>
          <w:szCs w:val="20"/>
          <w:lang w:val="es-CO"/>
        </w:rPr>
        <w:t xml:space="preserve"> (“</w:t>
      </w:r>
      <w:r w:rsidRPr="00005B30">
        <w:rPr>
          <w:rFonts w:ascii="Times New Roman" w:eastAsia="Times New Roman" w:hAnsi="Times New Roman" w:cs="Times New Roman"/>
          <w:b/>
          <w:bCs/>
          <w:snapToGrid w:val="0"/>
          <w:sz w:val="20"/>
          <w:szCs w:val="20"/>
          <w:lang w:val="es-CO"/>
        </w:rPr>
        <w:t>PROMSEX”)</w:t>
      </w:r>
      <w:r w:rsidR="005621E7">
        <w:rPr>
          <w:rStyle w:val="Refdenotaalfinal"/>
          <w:rFonts w:ascii="Times New Roman" w:eastAsia="Times New Roman" w:hAnsi="Times New Roman" w:cs="Times New Roman"/>
          <w:b/>
          <w:bCs/>
          <w:snapToGrid w:val="0"/>
          <w:sz w:val="20"/>
          <w:szCs w:val="20"/>
          <w:lang w:val="es-CO"/>
        </w:rPr>
        <w:endnoteReference w:id="1"/>
      </w:r>
      <w:r w:rsidRPr="00005B30">
        <w:rPr>
          <w:rFonts w:ascii="Times New Roman" w:eastAsia="Times New Roman" w:hAnsi="Times New Roman" w:cs="Times New Roman"/>
          <w:snapToGrid w:val="0"/>
          <w:sz w:val="20"/>
          <w:szCs w:val="20"/>
          <w:lang w:val="es-CO"/>
        </w:rPr>
        <w:t xml:space="preserve"> </w:t>
      </w:r>
      <w:r w:rsidR="005621E7">
        <w:rPr>
          <w:rFonts w:ascii="Times New Roman" w:eastAsia="Times New Roman" w:hAnsi="Times New Roman" w:cs="Times New Roman"/>
          <w:snapToGrid w:val="0"/>
          <w:sz w:val="20"/>
          <w:szCs w:val="20"/>
          <w:lang w:val="es-CO"/>
        </w:rPr>
        <w:t>e</w:t>
      </w:r>
      <w:r w:rsidRPr="00005B30">
        <w:rPr>
          <w:rFonts w:ascii="Times New Roman" w:eastAsia="Times New Roman" w:hAnsi="Times New Roman" w:cs="Times New Roman"/>
          <w:snapToGrid w:val="0"/>
          <w:sz w:val="20"/>
          <w:szCs w:val="20"/>
          <w:lang w:val="es-CO"/>
        </w:rPr>
        <w:t>n el marco de la elaboración de la</w:t>
      </w:r>
      <w:r w:rsidRPr="00005B30">
        <w:rPr>
          <w:rFonts w:ascii="Times New Roman" w:eastAsia="Arial Unicode MS" w:hAnsi="Times New Roman" w:cs="Times New Roman"/>
          <w:color w:val="000000"/>
          <w:sz w:val="20"/>
          <w:szCs w:val="20"/>
          <w:u w:color="000000"/>
          <w:bdr w:val="nil"/>
          <w:lang w:val="es-ES_tradnl"/>
        </w:rPr>
        <w:t xml:space="preserve"> </w:t>
      </w:r>
      <w:r w:rsidRPr="00005B30">
        <w:rPr>
          <w:rFonts w:ascii="Times New Roman" w:eastAsia="Times New Roman" w:hAnsi="Times New Roman" w:cs="Times New Roman"/>
          <w:snapToGrid w:val="0"/>
          <w:sz w:val="20"/>
          <w:szCs w:val="20"/>
          <w:lang w:val="es-ES_tradnl"/>
        </w:rPr>
        <w:t>lista de cuestiones para Perú, Estado que será considerado durante el 78° período de sesiones</w:t>
      </w:r>
      <w:r w:rsidRPr="00005B30">
        <w:rPr>
          <w:rFonts w:ascii="Times New Roman" w:eastAsia="Times New Roman" w:hAnsi="Times New Roman" w:cs="Times New Roman"/>
          <w:snapToGrid w:val="0"/>
          <w:sz w:val="20"/>
          <w:szCs w:val="20"/>
          <w:lang w:val="es-CO"/>
        </w:rPr>
        <w:t xml:space="preserve">, </w:t>
      </w:r>
      <w:r w:rsidRPr="00005B30">
        <w:rPr>
          <w:rFonts w:ascii="Times New Roman" w:hAnsi="Times New Roman" w:cs="Times New Roman"/>
          <w:sz w:val="20"/>
          <w:szCs w:val="20"/>
          <w:lang w:val="es-CO"/>
        </w:rPr>
        <w:t xml:space="preserve">quisiera contribuir al trabajo del Comité aportando información </w:t>
      </w:r>
      <w:r w:rsidR="009D328E">
        <w:rPr>
          <w:rFonts w:ascii="Times New Roman" w:hAnsi="Times New Roman" w:cs="Times New Roman"/>
          <w:sz w:val="20"/>
          <w:szCs w:val="20"/>
          <w:lang w:val="es-CO"/>
        </w:rPr>
        <w:t xml:space="preserve">sobre la garantía de </w:t>
      </w:r>
      <w:r w:rsidRPr="00005B30">
        <w:rPr>
          <w:rFonts w:ascii="Times New Roman" w:hAnsi="Times New Roman" w:cs="Times New Roman"/>
          <w:sz w:val="20"/>
          <w:szCs w:val="20"/>
          <w:lang w:val="es-CO"/>
        </w:rPr>
        <w:t>los derechos</w:t>
      </w:r>
      <w:r w:rsidRPr="00005B30">
        <w:rPr>
          <w:rFonts w:ascii="Times New Roman" w:eastAsia="Times New Roman" w:hAnsi="Times New Roman" w:cs="Times New Roman"/>
          <w:snapToGrid w:val="0"/>
          <w:sz w:val="20"/>
          <w:szCs w:val="20"/>
          <w:lang w:val="es-CO"/>
        </w:rPr>
        <w:t xml:space="preserve"> de las personas lesbianas, </w:t>
      </w:r>
      <w:proofErr w:type="spellStart"/>
      <w:r w:rsidRPr="00005B30">
        <w:rPr>
          <w:rFonts w:ascii="Times New Roman" w:eastAsia="Times New Roman" w:hAnsi="Times New Roman" w:cs="Times New Roman"/>
          <w:snapToGrid w:val="0"/>
          <w:sz w:val="20"/>
          <w:szCs w:val="20"/>
          <w:lang w:val="es-CO"/>
        </w:rPr>
        <w:t>gays</w:t>
      </w:r>
      <w:proofErr w:type="spellEnd"/>
      <w:r w:rsidRPr="00005B30">
        <w:rPr>
          <w:rFonts w:ascii="Times New Roman" w:eastAsia="Times New Roman" w:hAnsi="Times New Roman" w:cs="Times New Roman"/>
          <w:snapToGrid w:val="0"/>
          <w:sz w:val="20"/>
          <w:szCs w:val="20"/>
          <w:lang w:val="es-CO"/>
        </w:rPr>
        <w:t xml:space="preserve">, trans y bisexuales (LGBT) </w:t>
      </w:r>
      <w:r w:rsidRPr="00005B30">
        <w:rPr>
          <w:rFonts w:ascii="Times New Roman" w:hAnsi="Times New Roman" w:cs="Times New Roman"/>
          <w:sz w:val="20"/>
          <w:szCs w:val="20"/>
          <w:lang w:val="es-CO"/>
        </w:rPr>
        <w:t xml:space="preserve">protegidos por la Convención para la Eliminación de Discriminación contra la Mujer, en virtud del estándar establecido por el propio Comité en cuanto a reconocer </w:t>
      </w:r>
      <w:r w:rsidRPr="00625DED">
        <w:rPr>
          <w:rFonts w:ascii="Times New Roman" w:hAnsi="Times New Roman" w:cs="Times New Roman"/>
          <w:i/>
          <w:iCs/>
          <w:sz w:val="20"/>
          <w:szCs w:val="20"/>
        </w:rPr>
        <w:t>"la interseccionalidad como un concepto básico para comprender el alcance de las obligaciones generales de los Estados partes en virtud del derecho a la igualdad y no discriminación"</w:t>
      </w:r>
      <w:r w:rsidRPr="00005B30">
        <w:rPr>
          <w:rFonts w:ascii="Times New Roman" w:hAnsi="Times New Roman" w:cs="Times New Roman"/>
          <w:sz w:val="20"/>
          <w:szCs w:val="20"/>
        </w:rPr>
        <w:t xml:space="preserve"> y que </w:t>
      </w:r>
      <w:r w:rsidRPr="00625DED">
        <w:rPr>
          <w:rFonts w:ascii="Times New Roman" w:hAnsi="Times New Roman" w:cs="Times New Roman"/>
          <w:i/>
          <w:iCs/>
          <w:sz w:val="20"/>
          <w:szCs w:val="20"/>
        </w:rPr>
        <w:t>"la discriminación de la mujer por motivos de sexo y género está unida de manera indivisible a otros factores que afectan a la mujer, como la raza, el origen étnico, la religión o las creencias, la salud, el estatus, la edad, la clase, la casta, la orientación sexual y la identidad de género"</w:t>
      </w:r>
      <w:r w:rsidR="001B1BE2">
        <w:rPr>
          <w:rStyle w:val="Refdenotaalfinal"/>
          <w:rFonts w:ascii="Times New Roman" w:eastAsia="Times New Roman" w:hAnsi="Times New Roman" w:cs="Times New Roman"/>
          <w:b/>
          <w:bCs/>
          <w:snapToGrid w:val="0"/>
          <w:sz w:val="20"/>
          <w:szCs w:val="20"/>
          <w:lang w:val="es-CO"/>
        </w:rPr>
        <w:endnoteReference w:id="2"/>
      </w:r>
      <w:r w:rsidRPr="00005B30">
        <w:rPr>
          <w:rFonts w:ascii="Times New Roman" w:hAnsi="Times New Roman" w:cs="Times New Roman"/>
          <w:sz w:val="20"/>
          <w:szCs w:val="20"/>
        </w:rPr>
        <w:t>. De esta manera</w:t>
      </w:r>
      <w:r w:rsidRPr="0085452B">
        <w:rPr>
          <w:rFonts w:ascii="Times New Roman" w:hAnsi="Times New Roman" w:cs="Times New Roman"/>
          <w:sz w:val="20"/>
          <w:szCs w:val="20"/>
        </w:rPr>
        <w:t>, la Convención</w:t>
      </w:r>
      <w:r w:rsidR="00676008">
        <w:rPr>
          <w:rFonts w:ascii="Times New Roman" w:hAnsi="Times New Roman" w:cs="Times New Roman"/>
          <w:sz w:val="20"/>
          <w:szCs w:val="20"/>
        </w:rPr>
        <w:t xml:space="preserve">, como </w:t>
      </w:r>
      <w:r w:rsidRPr="0085452B">
        <w:rPr>
          <w:rFonts w:ascii="Times New Roman" w:hAnsi="Times New Roman" w:cs="Times New Roman"/>
          <w:sz w:val="20"/>
          <w:szCs w:val="20"/>
        </w:rPr>
        <w:t xml:space="preserve">un instrumento dinámico </w:t>
      </w:r>
      <w:r w:rsidR="00AB77AE">
        <w:rPr>
          <w:rFonts w:ascii="Times New Roman" w:hAnsi="Times New Roman" w:cs="Times New Roman"/>
          <w:sz w:val="20"/>
          <w:szCs w:val="20"/>
        </w:rPr>
        <w:t xml:space="preserve">que </w:t>
      </w:r>
      <w:r w:rsidRPr="0085452B">
        <w:rPr>
          <w:rFonts w:ascii="Times New Roman" w:hAnsi="Times New Roman" w:cs="Times New Roman"/>
          <w:sz w:val="20"/>
          <w:szCs w:val="20"/>
        </w:rPr>
        <w:t>contribuye de manera progresiva en la aclaración y comprensión de la discriminación contra la mujer y los instrumentos para luchar contra ella</w:t>
      </w:r>
      <w:r w:rsidR="002116E0" w:rsidRPr="0085452B">
        <w:rPr>
          <w:rStyle w:val="Refdenotaalfinal"/>
          <w:rFonts w:ascii="Times New Roman" w:eastAsiaTheme="minorEastAsia" w:hAnsi="Times New Roman" w:cs="Times New Roman"/>
          <w:kern w:val="24"/>
          <w:sz w:val="20"/>
          <w:szCs w:val="20"/>
          <w:lang w:val="es-419"/>
        </w:rPr>
        <w:endnoteReference w:id="3"/>
      </w:r>
      <w:r w:rsidRPr="0085452B">
        <w:rPr>
          <w:rFonts w:ascii="Times New Roman" w:hAnsi="Times New Roman" w:cs="Times New Roman"/>
          <w:sz w:val="20"/>
          <w:szCs w:val="20"/>
        </w:rPr>
        <w:t>.</w:t>
      </w:r>
    </w:p>
    <w:p w14:paraId="43852095" w14:textId="653FDE4D" w:rsidR="00CE0D97" w:rsidRDefault="00CE0D97" w:rsidP="00A00151">
      <w:pPr>
        <w:spacing w:after="0" w:line="240" w:lineRule="auto"/>
        <w:contextualSpacing/>
        <w:jc w:val="both"/>
        <w:rPr>
          <w:rFonts w:ascii="Times New Roman" w:hAnsi="Times New Roman" w:cs="Times New Roman"/>
          <w:sz w:val="20"/>
          <w:szCs w:val="20"/>
        </w:rPr>
      </w:pPr>
    </w:p>
    <w:p w14:paraId="3F094B8B" w14:textId="58612841" w:rsidR="00CE0D97" w:rsidRPr="00005B30" w:rsidRDefault="00CE0D97" w:rsidP="00CE0D97">
      <w:pPr>
        <w:pStyle w:val="Prrafodelista"/>
        <w:numPr>
          <w:ilvl w:val="0"/>
          <w:numId w:val="2"/>
        </w:numPr>
        <w:tabs>
          <w:tab w:val="left" w:pos="284"/>
          <w:tab w:val="left" w:pos="426"/>
        </w:tabs>
        <w:spacing w:after="0" w:line="240" w:lineRule="auto"/>
        <w:ind w:left="284" w:hanging="284"/>
        <w:jc w:val="both"/>
        <w:rPr>
          <w:rFonts w:ascii="Times New Roman" w:hAnsi="Times New Roman" w:cs="Times New Roman"/>
          <w:sz w:val="20"/>
          <w:szCs w:val="20"/>
        </w:rPr>
      </w:pPr>
      <w:r w:rsidRPr="00005B30">
        <w:rPr>
          <w:rFonts w:ascii="Times New Roman" w:hAnsi="Times New Roman" w:cs="Times New Roman"/>
          <w:b/>
          <w:bCs/>
          <w:sz w:val="20"/>
          <w:szCs w:val="20"/>
          <w:lang w:val="es-ES"/>
        </w:rPr>
        <w:t>Discriminación y violencia institucional contra las personas LGBT</w:t>
      </w:r>
      <w:r w:rsidR="00D12DA2" w:rsidRPr="00B23A09">
        <w:rPr>
          <w:rStyle w:val="Refdenotaalfinal"/>
          <w:rFonts w:ascii="Times New Roman" w:eastAsia="Times New Roman" w:hAnsi="Times New Roman" w:cs="Times New Roman"/>
          <w:snapToGrid w:val="0"/>
          <w:sz w:val="20"/>
          <w:szCs w:val="20"/>
          <w:lang w:val="es-CO"/>
        </w:rPr>
        <w:endnoteReference w:id="4"/>
      </w:r>
      <w:r w:rsidRPr="00005B30">
        <w:rPr>
          <w:rFonts w:ascii="Times New Roman" w:hAnsi="Times New Roman" w:cs="Times New Roman"/>
          <w:b/>
          <w:bCs/>
          <w:sz w:val="20"/>
          <w:szCs w:val="20"/>
          <w:lang w:val="es-ES"/>
        </w:rPr>
        <w:t xml:space="preserve"> y ausencia de mecanismos de atención, investigación y sanción </w:t>
      </w:r>
    </w:p>
    <w:p w14:paraId="62A3DEB9" w14:textId="77777777" w:rsidR="00CE0D97" w:rsidRPr="00005B30" w:rsidRDefault="00CE0D97" w:rsidP="00CE0D97">
      <w:pPr>
        <w:pStyle w:val="Prrafodelista"/>
        <w:tabs>
          <w:tab w:val="left" w:pos="142"/>
          <w:tab w:val="left" w:pos="284"/>
          <w:tab w:val="left" w:pos="426"/>
        </w:tabs>
        <w:spacing w:after="0" w:line="240" w:lineRule="auto"/>
        <w:ind w:left="0"/>
        <w:jc w:val="both"/>
        <w:rPr>
          <w:rFonts w:ascii="Times New Roman" w:hAnsi="Times New Roman" w:cs="Times New Roman"/>
          <w:sz w:val="20"/>
          <w:szCs w:val="20"/>
        </w:rPr>
      </w:pPr>
    </w:p>
    <w:p w14:paraId="43A44722" w14:textId="43C91568" w:rsidR="00CE0D97" w:rsidRPr="00005B30" w:rsidRDefault="00CE0D97" w:rsidP="00CE0D97">
      <w:pPr>
        <w:tabs>
          <w:tab w:val="left" w:pos="142"/>
          <w:tab w:val="left" w:pos="284"/>
        </w:tabs>
        <w:spacing w:after="0" w:line="240" w:lineRule="auto"/>
        <w:contextualSpacing/>
        <w:jc w:val="both"/>
        <w:rPr>
          <w:rFonts w:ascii="Times New Roman" w:hAnsi="Times New Roman" w:cs="Times New Roman"/>
          <w:i/>
          <w:iCs/>
          <w:sz w:val="20"/>
          <w:szCs w:val="20"/>
        </w:rPr>
      </w:pPr>
      <w:r>
        <w:rPr>
          <w:rFonts w:ascii="Times New Roman" w:hAnsi="Times New Roman" w:cs="Times New Roman"/>
          <w:i/>
          <w:iCs/>
          <w:sz w:val="20"/>
          <w:szCs w:val="20"/>
        </w:rPr>
        <w:t>V</w:t>
      </w:r>
      <w:r w:rsidRPr="00005B30">
        <w:rPr>
          <w:rFonts w:ascii="Times New Roman" w:hAnsi="Times New Roman" w:cs="Times New Roman"/>
          <w:i/>
          <w:iCs/>
          <w:sz w:val="20"/>
          <w:szCs w:val="20"/>
        </w:rPr>
        <w:t>iolencia institucional contra las personas LGBT en el Perú</w:t>
      </w:r>
    </w:p>
    <w:p w14:paraId="1049BAB9" w14:textId="77777777" w:rsidR="00CE0D97" w:rsidRPr="00005B30" w:rsidRDefault="00CE0D97" w:rsidP="00CE0D97">
      <w:pPr>
        <w:tabs>
          <w:tab w:val="left" w:pos="142"/>
          <w:tab w:val="left" w:pos="284"/>
        </w:tabs>
        <w:spacing w:after="0" w:line="240" w:lineRule="auto"/>
        <w:contextualSpacing/>
        <w:jc w:val="both"/>
        <w:rPr>
          <w:rFonts w:ascii="Times New Roman" w:hAnsi="Times New Roman" w:cs="Times New Roman"/>
          <w:i/>
          <w:iCs/>
          <w:sz w:val="20"/>
          <w:szCs w:val="20"/>
        </w:rPr>
      </w:pPr>
    </w:p>
    <w:p w14:paraId="11F8DEDE" w14:textId="44354E3A" w:rsidR="00CE0D97" w:rsidRPr="00005B30" w:rsidRDefault="00881153" w:rsidP="00CE0D97">
      <w:pPr>
        <w:pStyle w:val="Textoindependiente"/>
        <w:numPr>
          <w:ilvl w:val="0"/>
          <w:numId w:val="1"/>
        </w:numPr>
        <w:tabs>
          <w:tab w:val="left" w:pos="284"/>
        </w:tabs>
        <w:ind w:left="0" w:right="114" w:firstLine="0"/>
        <w:contextualSpacing/>
        <w:jc w:val="both"/>
        <w:rPr>
          <w:noProof/>
          <w:sz w:val="20"/>
          <w:szCs w:val="20"/>
          <w:lang w:val="es-PE"/>
        </w:rPr>
      </w:pPr>
      <w:r>
        <w:rPr>
          <w:sz w:val="20"/>
          <w:szCs w:val="20"/>
        </w:rPr>
        <w:t>En el Perú e</w:t>
      </w:r>
      <w:r w:rsidR="00CE0D97" w:rsidRPr="00005B30">
        <w:rPr>
          <w:sz w:val="20"/>
          <w:szCs w:val="20"/>
        </w:rPr>
        <w:t>xiste un contexto de prejuicios estereotipados, violencia y discriminación contras las mujeres lesbianas, transfemeninas, bisexuales entre otras (en adelante mujeres en su diversidad)</w:t>
      </w:r>
      <w:r w:rsidR="0046591A" w:rsidRPr="00B23A09">
        <w:rPr>
          <w:rStyle w:val="Refdenotaalfinal"/>
          <w:snapToGrid w:val="0"/>
          <w:sz w:val="20"/>
          <w:szCs w:val="20"/>
          <w:lang w:val="es-CO"/>
        </w:rPr>
        <w:endnoteReference w:id="5"/>
      </w:r>
      <w:r w:rsidR="00CE0D97" w:rsidRPr="00005B30">
        <w:rPr>
          <w:sz w:val="20"/>
          <w:szCs w:val="20"/>
        </w:rPr>
        <w:t xml:space="preserve">. </w:t>
      </w:r>
      <w:r w:rsidR="00F71536">
        <w:rPr>
          <w:sz w:val="20"/>
          <w:szCs w:val="20"/>
          <w:lang w:val="es-PE"/>
        </w:rPr>
        <w:t xml:space="preserve">Según un Informe </w:t>
      </w:r>
      <w:r w:rsidR="00CE0D97" w:rsidRPr="00005B30">
        <w:rPr>
          <w:sz w:val="20"/>
          <w:szCs w:val="20"/>
          <w:lang w:val="es-PE"/>
        </w:rPr>
        <w:t>LGB</w:t>
      </w:r>
      <w:r w:rsidR="00F71536">
        <w:rPr>
          <w:sz w:val="20"/>
          <w:szCs w:val="20"/>
          <w:lang w:val="es-PE"/>
        </w:rPr>
        <w:t>T</w:t>
      </w:r>
      <w:r w:rsidR="00CE0D97" w:rsidRPr="00005B30">
        <w:rPr>
          <w:sz w:val="20"/>
          <w:szCs w:val="20"/>
          <w:lang w:val="es-PE"/>
        </w:rPr>
        <w:t xml:space="preserve"> da cuenta que el período de abril de 2014 a marzo de 2015, se reportaron 13 homicidios de personas LG</w:t>
      </w:r>
      <w:r w:rsidR="00C9397A">
        <w:rPr>
          <w:sz w:val="20"/>
          <w:szCs w:val="20"/>
          <w:lang w:val="es-PE"/>
        </w:rPr>
        <w:t>BT</w:t>
      </w:r>
      <w:r w:rsidR="0046591A" w:rsidRPr="002533E4">
        <w:rPr>
          <w:rStyle w:val="Refdenotaalfinal"/>
          <w:snapToGrid w:val="0"/>
          <w:sz w:val="20"/>
          <w:szCs w:val="20"/>
          <w:lang w:val="es-CO"/>
        </w:rPr>
        <w:endnoteReference w:id="6"/>
      </w:r>
      <w:r w:rsidR="00F71536">
        <w:rPr>
          <w:sz w:val="20"/>
          <w:szCs w:val="20"/>
          <w:lang w:val="es-PE"/>
        </w:rPr>
        <w:t xml:space="preserve"> y </w:t>
      </w:r>
      <w:r w:rsidR="00CE0D97" w:rsidRPr="00005B30">
        <w:rPr>
          <w:sz w:val="20"/>
          <w:szCs w:val="20"/>
          <w:lang w:val="es-PE"/>
        </w:rPr>
        <w:t>entre 2015 - 2016</w:t>
      </w:r>
      <w:r w:rsidR="0046591A" w:rsidRPr="002533E4">
        <w:rPr>
          <w:rStyle w:val="Refdenotaalfinal"/>
          <w:snapToGrid w:val="0"/>
          <w:sz w:val="20"/>
          <w:szCs w:val="20"/>
          <w:lang w:val="es-CO"/>
        </w:rPr>
        <w:endnoteReference w:id="7"/>
      </w:r>
      <w:r w:rsidR="00CE0D97" w:rsidRPr="00005B30">
        <w:rPr>
          <w:sz w:val="20"/>
          <w:szCs w:val="20"/>
          <w:lang w:val="es-PE"/>
        </w:rPr>
        <w:t xml:space="preserve"> se registraron ocho (8) casos de discriminación perpetrados por policías y serenazgos en espacios públicos</w:t>
      </w:r>
      <w:r w:rsidR="00F71536">
        <w:rPr>
          <w:sz w:val="20"/>
          <w:szCs w:val="20"/>
          <w:lang w:val="es-PE"/>
        </w:rPr>
        <w:t>. Respecto a</w:t>
      </w:r>
      <w:r w:rsidR="00CE0D97" w:rsidRPr="00005B30">
        <w:rPr>
          <w:sz w:val="20"/>
          <w:szCs w:val="20"/>
          <w:lang w:val="es-PE"/>
        </w:rPr>
        <w:t xml:space="preserve"> afectaciones a la seguridad personal que no resultaron en muerte, se reportó que las mujeres trans vinculadas al trabajo sexual fueron las principales víctimas de agentes estatales (24 casos). Estos actos </w:t>
      </w:r>
      <w:r w:rsidR="00F71536">
        <w:rPr>
          <w:sz w:val="20"/>
          <w:szCs w:val="20"/>
          <w:lang w:val="es-PE"/>
        </w:rPr>
        <w:t>son</w:t>
      </w:r>
      <w:r w:rsidR="00CE0D97" w:rsidRPr="00005B30">
        <w:rPr>
          <w:sz w:val="20"/>
          <w:szCs w:val="20"/>
          <w:lang w:val="es-PE"/>
        </w:rPr>
        <w:t xml:space="preserve"> prácticas sistemáticas de </w:t>
      </w:r>
      <w:r w:rsidR="00B060A5">
        <w:rPr>
          <w:sz w:val="20"/>
          <w:szCs w:val="20"/>
          <w:lang w:val="es-PE"/>
        </w:rPr>
        <w:t>personal de seguridad</w:t>
      </w:r>
      <w:r w:rsidR="00CE0D97" w:rsidRPr="00005B30">
        <w:rPr>
          <w:sz w:val="20"/>
          <w:szCs w:val="20"/>
          <w:lang w:val="es-PE"/>
        </w:rPr>
        <w:t>, quienes las detienen arbitrariamente, golpean y trasladan a lugares desolados para quitarles sus pertenencias y violentarlas sexualmente (desnudo forzado, violación sexual, etc.)</w:t>
      </w:r>
      <w:r w:rsidR="00B060A5">
        <w:rPr>
          <w:sz w:val="20"/>
          <w:szCs w:val="20"/>
          <w:lang w:val="es-PE"/>
        </w:rPr>
        <w:t xml:space="preserve">. </w:t>
      </w:r>
    </w:p>
    <w:p w14:paraId="138AB79A" w14:textId="77777777" w:rsidR="00CE0D97" w:rsidRPr="00005B30" w:rsidRDefault="00CE0D97" w:rsidP="00CE0D97">
      <w:pPr>
        <w:pStyle w:val="Textoindependiente"/>
        <w:tabs>
          <w:tab w:val="left" w:pos="284"/>
        </w:tabs>
        <w:ind w:right="114"/>
        <w:contextualSpacing/>
        <w:jc w:val="both"/>
        <w:rPr>
          <w:noProof/>
          <w:sz w:val="20"/>
          <w:szCs w:val="20"/>
          <w:lang w:val="es-PE"/>
        </w:rPr>
      </w:pPr>
    </w:p>
    <w:p w14:paraId="6996D9A5" w14:textId="01CC618B" w:rsidR="00E31E71" w:rsidRPr="000A78EB" w:rsidRDefault="00CE0D97" w:rsidP="00C65F3F">
      <w:pPr>
        <w:pStyle w:val="Prrafodelista"/>
        <w:numPr>
          <w:ilvl w:val="0"/>
          <w:numId w:val="1"/>
        </w:numPr>
        <w:tabs>
          <w:tab w:val="left" w:pos="284"/>
        </w:tabs>
        <w:spacing w:after="0" w:line="240" w:lineRule="auto"/>
        <w:ind w:left="0" w:right="114" w:firstLine="0"/>
        <w:jc w:val="both"/>
        <w:rPr>
          <w:i/>
          <w:iCs/>
          <w:sz w:val="20"/>
          <w:szCs w:val="20"/>
        </w:rPr>
      </w:pPr>
      <w:r w:rsidRPr="00310971">
        <w:rPr>
          <w:rFonts w:ascii="Times New Roman" w:hAnsi="Times New Roman" w:cs="Times New Roman"/>
          <w:noProof/>
          <w:sz w:val="20"/>
          <w:szCs w:val="20"/>
        </w:rPr>
        <w:t xml:space="preserve">La violencia institucional es una realidad en el país, ya que durante los años 2017 y 2018 se registraron, 341 casos de vulneraciones de derechos de las personas LGBT, </w:t>
      </w:r>
      <w:r w:rsidR="00F11236" w:rsidRPr="00310971">
        <w:rPr>
          <w:rFonts w:ascii="Times New Roman" w:hAnsi="Times New Roman" w:cs="Times New Roman"/>
          <w:noProof/>
          <w:sz w:val="20"/>
          <w:szCs w:val="20"/>
        </w:rPr>
        <w:t xml:space="preserve">siendo los agresores, en el 25% de los casos, </w:t>
      </w:r>
      <w:r w:rsidRPr="00310971">
        <w:rPr>
          <w:rFonts w:ascii="Times New Roman" w:hAnsi="Times New Roman" w:cs="Times New Roman"/>
          <w:noProof/>
          <w:sz w:val="20"/>
          <w:szCs w:val="20"/>
        </w:rPr>
        <w:t>agentes del Estado</w:t>
      </w:r>
      <w:r w:rsidR="00F11236" w:rsidRPr="00310971">
        <w:rPr>
          <w:rFonts w:ascii="Times New Roman" w:hAnsi="Times New Roman" w:cs="Times New Roman"/>
          <w:noProof/>
          <w:sz w:val="20"/>
          <w:szCs w:val="20"/>
        </w:rPr>
        <w:t xml:space="preserve">: </w:t>
      </w:r>
      <w:r w:rsidRPr="00310971">
        <w:rPr>
          <w:rFonts w:ascii="Times New Roman" w:hAnsi="Times New Roman" w:cs="Times New Roman"/>
          <w:noProof/>
          <w:sz w:val="20"/>
          <w:szCs w:val="20"/>
        </w:rPr>
        <w:t>personal municipal de serenazgo; Polícia Nacional del Perú, el personal sanitario de diversos centros hospitalarios; funcionarios ediles y servidores/funcionarios varios del Estado.</w:t>
      </w:r>
      <w:r w:rsidR="0046591A" w:rsidRPr="00310971">
        <w:rPr>
          <w:rStyle w:val="Refdenotaalfinal"/>
          <w:rFonts w:ascii="Times New Roman" w:hAnsi="Times New Roman" w:cs="Times New Roman"/>
          <w:sz w:val="20"/>
          <w:szCs w:val="20"/>
          <w:lang w:val="es-419"/>
        </w:rPr>
        <w:endnoteReference w:id="8"/>
      </w:r>
      <w:r w:rsidR="00310971" w:rsidRPr="00310971">
        <w:rPr>
          <w:rFonts w:ascii="Times New Roman" w:hAnsi="Times New Roman" w:cs="Times New Roman"/>
          <w:noProof/>
          <w:sz w:val="20"/>
          <w:szCs w:val="20"/>
        </w:rPr>
        <w:t xml:space="preserve"> </w:t>
      </w:r>
      <w:r w:rsidR="00BD0F96" w:rsidRPr="00310971">
        <w:rPr>
          <w:rFonts w:ascii="Times New Roman" w:hAnsi="Times New Roman" w:cs="Times New Roman"/>
          <w:noProof/>
          <w:sz w:val="20"/>
          <w:szCs w:val="20"/>
        </w:rPr>
        <w:t xml:space="preserve">Sin embargo, </w:t>
      </w:r>
      <w:r w:rsidR="00310971" w:rsidRPr="00310971">
        <w:rPr>
          <w:rFonts w:ascii="Times New Roman" w:hAnsi="Times New Roman" w:cs="Times New Roman"/>
          <w:noProof/>
          <w:sz w:val="20"/>
          <w:szCs w:val="20"/>
        </w:rPr>
        <w:t>no se cuenta con informacion oficial y actuali</w:t>
      </w:r>
      <w:proofErr w:type="spellStart"/>
      <w:r w:rsidR="00310971" w:rsidRPr="00310971">
        <w:rPr>
          <w:sz w:val="20"/>
          <w:szCs w:val="20"/>
        </w:rPr>
        <w:t>z</w:t>
      </w:r>
      <w:r w:rsidR="00310971" w:rsidRPr="00310971">
        <w:rPr>
          <w:rFonts w:ascii="Times New Roman" w:hAnsi="Times New Roman" w:cs="Times New Roman"/>
          <w:noProof/>
          <w:sz w:val="20"/>
          <w:szCs w:val="20"/>
        </w:rPr>
        <w:t>ada</w:t>
      </w:r>
      <w:proofErr w:type="spellEnd"/>
      <w:r w:rsidR="00310971" w:rsidRPr="00310971">
        <w:rPr>
          <w:rFonts w:ascii="Times New Roman" w:hAnsi="Times New Roman" w:cs="Times New Roman"/>
          <w:noProof/>
          <w:sz w:val="20"/>
          <w:szCs w:val="20"/>
        </w:rPr>
        <w:t xml:space="preserve"> sobre la violencia institucional por orientacion s</w:t>
      </w:r>
      <w:r w:rsidR="00012984" w:rsidRPr="00310971">
        <w:rPr>
          <w:rFonts w:ascii="Times New Roman" w:hAnsi="Times New Roman" w:cs="Times New Roman"/>
          <w:noProof/>
          <w:sz w:val="20"/>
          <w:szCs w:val="20"/>
        </w:rPr>
        <w:t>e</w:t>
      </w:r>
      <w:r w:rsidR="00012984" w:rsidRPr="00012984">
        <w:rPr>
          <w:rFonts w:ascii="Times New Roman" w:eastAsia="Times New Roman" w:hAnsi="Times New Roman" w:cs="Times New Roman"/>
          <w:snapToGrid w:val="0"/>
          <w:sz w:val="20"/>
          <w:szCs w:val="20"/>
          <w:lang w:val="es-CO"/>
        </w:rPr>
        <w:t>x</w:t>
      </w:r>
      <w:r w:rsidR="00012984" w:rsidRPr="00310971">
        <w:rPr>
          <w:rFonts w:ascii="Times New Roman" w:hAnsi="Times New Roman" w:cs="Times New Roman"/>
          <w:noProof/>
          <w:sz w:val="20"/>
          <w:szCs w:val="20"/>
        </w:rPr>
        <w:t xml:space="preserve">ual </w:t>
      </w:r>
      <w:r w:rsidR="00310971" w:rsidRPr="00310971">
        <w:rPr>
          <w:rFonts w:ascii="Times New Roman" w:hAnsi="Times New Roman" w:cs="Times New Roman"/>
          <w:noProof/>
          <w:sz w:val="20"/>
          <w:szCs w:val="20"/>
        </w:rPr>
        <w:t xml:space="preserve">e identidad de género. </w:t>
      </w:r>
    </w:p>
    <w:p w14:paraId="6C18C211" w14:textId="77777777" w:rsidR="000A78EB" w:rsidRPr="000A78EB" w:rsidRDefault="000A78EB" w:rsidP="000A78EB">
      <w:pPr>
        <w:pStyle w:val="Prrafodelista"/>
        <w:rPr>
          <w:i/>
          <w:iCs/>
          <w:sz w:val="20"/>
          <w:szCs w:val="20"/>
        </w:rPr>
      </w:pPr>
    </w:p>
    <w:p w14:paraId="6DBA0ACC" w14:textId="77777777" w:rsidR="000A78EB" w:rsidRPr="001A1AD4" w:rsidRDefault="000A78EB" w:rsidP="000A78EB">
      <w:pPr>
        <w:pStyle w:val="Prrafodelista"/>
        <w:numPr>
          <w:ilvl w:val="0"/>
          <w:numId w:val="1"/>
        </w:numPr>
        <w:tabs>
          <w:tab w:val="left" w:pos="426"/>
          <w:tab w:val="left" w:pos="7938"/>
        </w:tabs>
        <w:spacing w:after="0" w:line="240" w:lineRule="auto"/>
        <w:ind w:left="0" w:firstLine="0"/>
        <w:jc w:val="both"/>
        <w:rPr>
          <w:rFonts w:ascii="Times New Roman" w:hAnsi="Times New Roman" w:cs="Times New Roman"/>
          <w:sz w:val="20"/>
          <w:szCs w:val="20"/>
          <w:lang w:val="es-419"/>
        </w:rPr>
      </w:pPr>
      <w:r w:rsidRPr="001A1AD4">
        <w:rPr>
          <w:rFonts w:ascii="Times New Roman" w:hAnsi="Times New Roman" w:cs="Times New Roman"/>
          <w:sz w:val="20"/>
          <w:szCs w:val="20"/>
        </w:rPr>
        <w:t xml:space="preserve">Lamentablemente, </w:t>
      </w:r>
      <w:r w:rsidRPr="001A1AD4">
        <w:rPr>
          <w:rFonts w:ascii="Times New Roman" w:hAnsi="Times New Roman" w:cs="Times New Roman"/>
          <w:bCs/>
          <w:sz w:val="20"/>
          <w:szCs w:val="20"/>
        </w:rPr>
        <w:t>no existe una política pública específica</w:t>
      </w:r>
      <w:r w:rsidRPr="00B23A09">
        <w:rPr>
          <w:rStyle w:val="Refdenotaalfinal"/>
          <w:rFonts w:ascii="Times New Roman" w:eastAsia="Times New Roman" w:hAnsi="Times New Roman" w:cs="Times New Roman"/>
          <w:snapToGrid w:val="0"/>
          <w:sz w:val="20"/>
          <w:szCs w:val="20"/>
          <w:lang w:val="es-CO"/>
        </w:rPr>
        <w:endnoteReference w:id="9"/>
      </w:r>
      <w:r w:rsidRPr="001A1AD4">
        <w:rPr>
          <w:rFonts w:ascii="Times New Roman" w:hAnsi="Times New Roman" w:cs="Times New Roman"/>
          <w:bCs/>
          <w:sz w:val="20"/>
          <w:szCs w:val="20"/>
        </w:rPr>
        <w:t xml:space="preserve"> que plantee medidas para prevenir, registrar, investigar y sancionar la </w:t>
      </w:r>
      <w:r w:rsidRPr="001A1AD4">
        <w:rPr>
          <w:rFonts w:ascii="Times New Roman" w:hAnsi="Times New Roman" w:cs="Times New Roman"/>
          <w:bCs/>
          <w:sz w:val="20"/>
          <w:szCs w:val="20"/>
          <w:lang w:val="es-419"/>
        </w:rPr>
        <w:t>discriminación y violencia contra personas LGBT perpetrada por serenos y policías, que puedan constituir tortura</w:t>
      </w:r>
      <w:r w:rsidRPr="00D831EB">
        <w:rPr>
          <w:rStyle w:val="Refdenotaalfinal"/>
          <w:rFonts w:ascii="Times New Roman" w:eastAsia="Times New Roman" w:hAnsi="Times New Roman" w:cs="Times New Roman"/>
          <w:sz w:val="20"/>
          <w:szCs w:val="20"/>
          <w:lang w:val="es-419" w:eastAsia="fr-CA"/>
        </w:rPr>
        <w:endnoteReference w:id="10"/>
      </w:r>
      <w:r w:rsidRPr="001A1AD4">
        <w:rPr>
          <w:rFonts w:ascii="Times New Roman" w:hAnsi="Times New Roman" w:cs="Times New Roman"/>
          <w:bCs/>
          <w:sz w:val="20"/>
          <w:szCs w:val="20"/>
          <w:lang w:val="es-419"/>
        </w:rPr>
        <w:t xml:space="preserve">. </w:t>
      </w:r>
    </w:p>
    <w:p w14:paraId="3435E99B" w14:textId="77777777" w:rsidR="000A78EB" w:rsidRDefault="000A78EB" w:rsidP="00C65F3F">
      <w:pPr>
        <w:pStyle w:val="Textoindependiente"/>
        <w:tabs>
          <w:tab w:val="left" w:pos="284"/>
        </w:tabs>
        <w:ind w:right="114"/>
        <w:contextualSpacing/>
        <w:jc w:val="both"/>
        <w:rPr>
          <w:i/>
          <w:iCs/>
          <w:sz w:val="20"/>
          <w:szCs w:val="20"/>
          <w:lang w:val="es-PE"/>
        </w:rPr>
      </w:pPr>
    </w:p>
    <w:p w14:paraId="70C46369" w14:textId="77777777" w:rsidR="000A78EB" w:rsidRDefault="000A78EB" w:rsidP="00C65F3F">
      <w:pPr>
        <w:pStyle w:val="Textoindependiente"/>
        <w:tabs>
          <w:tab w:val="left" w:pos="284"/>
        </w:tabs>
        <w:ind w:right="114"/>
        <w:contextualSpacing/>
        <w:jc w:val="both"/>
        <w:rPr>
          <w:i/>
          <w:iCs/>
          <w:sz w:val="20"/>
          <w:szCs w:val="20"/>
          <w:lang w:val="es-PE"/>
        </w:rPr>
      </w:pPr>
    </w:p>
    <w:p w14:paraId="1ABB861A" w14:textId="77777777" w:rsidR="000A78EB" w:rsidRDefault="000A78EB" w:rsidP="00C65F3F">
      <w:pPr>
        <w:pStyle w:val="Textoindependiente"/>
        <w:tabs>
          <w:tab w:val="left" w:pos="284"/>
        </w:tabs>
        <w:ind w:right="114"/>
        <w:contextualSpacing/>
        <w:jc w:val="both"/>
        <w:rPr>
          <w:i/>
          <w:iCs/>
          <w:sz w:val="20"/>
          <w:szCs w:val="20"/>
          <w:lang w:val="es-PE"/>
        </w:rPr>
      </w:pPr>
    </w:p>
    <w:p w14:paraId="19312BE3" w14:textId="3926A603" w:rsidR="00C65F3F" w:rsidRPr="00C65F3F" w:rsidRDefault="00C65F3F" w:rsidP="00C65F3F">
      <w:pPr>
        <w:pStyle w:val="Textoindependiente"/>
        <w:tabs>
          <w:tab w:val="left" w:pos="284"/>
        </w:tabs>
        <w:ind w:right="114"/>
        <w:contextualSpacing/>
        <w:jc w:val="both"/>
        <w:rPr>
          <w:noProof/>
          <w:sz w:val="20"/>
          <w:szCs w:val="20"/>
          <w:lang w:val="es-PE"/>
        </w:rPr>
      </w:pPr>
      <w:r w:rsidRPr="00C65F3F">
        <w:rPr>
          <w:i/>
          <w:iCs/>
          <w:sz w:val="20"/>
          <w:szCs w:val="20"/>
          <w:lang w:val="es-PE"/>
        </w:rPr>
        <w:lastRenderedPageBreak/>
        <w:t>Acceso a la justicia de las personas LGBT</w:t>
      </w:r>
    </w:p>
    <w:p w14:paraId="0E6D6927" w14:textId="77777777" w:rsidR="00C65F3F" w:rsidRPr="00005B30" w:rsidRDefault="00C65F3F" w:rsidP="00C65F3F">
      <w:pPr>
        <w:pStyle w:val="Textoindependiente"/>
        <w:tabs>
          <w:tab w:val="left" w:pos="284"/>
        </w:tabs>
        <w:ind w:right="114"/>
        <w:contextualSpacing/>
        <w:jc w:val="both"/>
        <w:rPr>
          <w:i/>
          <w:iCs/>
          <w:sz w:val="20"/>
          <w:szCs w:val="20"/>
          <w:lang w:val="es-PE"/>
        </w:rPr>
      </w:pPr>
    </w:p>
    <w:p w14:paraId="1667ADCD" w14:textId="11F07C12" w:rsidR="00C65F3F" w:rsidRPr="00005B30" w:rsidRDefault="00C65F3F" w:rsidP="00C65F3F">
      <w:pPr>
        <w:pStyle w:val="Prrafodelista"/>
        <w:numPr>
          <w:ilvl w:val="0"/>
          <w:numId w:val="1"/>
        </w:numPr>
        <w:tabs>
          <w:tab w:val="left" w:pos="284"/>
        </w:tabs>
        <w:spacing w:after="0" w:line="240" w:lineRule="auto"/>
        <w:ind w:left="0" w:firstLine="0"/>
        <w:jc w:val="both"/>
        <w:rPr>
          <w:rFonts w:ascii="Times New Roman" w:hAnsi="Times New Roman" w:cs="Times New Roman"/>
          <w:sz w:val="20"/>
          <w:szCs w:val="20"/>
        </w:rPr>
      </w:pPr>
      <w:bookmarkStart w:id="1" w:name="_Hlk43045998"/>
      <w:r w:rsidRPr="00005B30">
        <w:rPr>
          <w:rFonts w:ascii="Times New Roman" w:hAnsi="Times New Roman" w:cs="Times New Roman"/>
          <w:sz w:val="20"/>
          <w:szCs w:val="20"/>
        </w:rPr>
        <w:t>Frente a estos casos de violencia y discriminación contra mujeres en su diversidad no existe en el Sistema de Justicia protocolos especializados tanto para la atención de víctimas como para la investigación especializada de los hechos; más aún cuando las víctimas son niñas y adolescentes.</w:t>
      </w:r>
      <w:r w:rsidRPr="00005B30">
        <w:rPr>
          <w:rFonts w:ascii="Times New Roman" w:hAnsi="Times New Roman" w:cs="Times New Roman"/>
          <w:noProof/>
          <w:color w:val="000000" w:themeColor="text1"/>
          <w:sz w:val="20"/>
          <w:szCs w:val="20"/>
        </w:rPr>
        <w:t xml:space="preserve"> </w:t>
      </w:r>
      <w:r w:rsidRPr="00005B30">
        <w:rPr>
          <w:rFonts w:ascii="Times New Roman" w:hAnsi="Times New Roman" w:cs="Times New Roman"/>
          <w:sz w:val="20"/>
          <w:szCs w:val="20"/>
        </w:rPr>
        <w:t xml:space="preserve">Sobre el particular, el Comité CEDAW </w:t>
      </w:r>
      <w:r w:rsidR="008173F6">
        <w:rPr>
          <w:rFonts w:ascii="Times New Roman" w:hAnsi="Times New Roman" w:cs="Times New Roman"/>
          <w:sz w:val="20"/>
          <w:szCs w:val="20"/>
        </w:rPr>
        <w:t xml:space="preserve">recomendó al </w:t>
      </w:r>
      <w:r w:rsidRPr="00005B30">
        <w:rPr>
          <w:rFonts w:ascii="Times New Roman" w:hAnsi="Times New Roman" w:cs="Times New Roman"/>
          <w:sz w:val="20"/>
          <w:szCs w:val="20"/>
        </w:rPr>
        <w:t xml:space="preserve">Perú </w:t>
      </w:r>
      <w:r w:rsidR="008173F6">
        <w:rPr>
          <w:rFonts w:ascii="Times New Roman" w:hAnsi="Times New Roman" w:cs="Times New Roman"/>
          <w:sz w:val="20"/>
          <w:szCs w:val="20"/>
        </w:rPr>
        <w:t xml:space="preserve">que </w:t>
      </w:r>
      <w:r w:rsidRPr="00005B30">
        <w:rPr>
          <w:rFonts w:ascii="Times New Roman" w:hAnsi="Times New Roman" w:cs="Times New Roman"/>
          <w:sz w:val="20"/>
          <w:szCs w:val="20"/>
        </w:rPr>
        <w:t xml:space="preserve">“a) </w:t>
      </w:r>
      <w:r w:rsidR="00734B27">
        <w:rPr>
          <w:rFonts w:ascii="Times New Roman" w:hAnsi="Times New Roman" w:cs="Times New Roman"/>
          <w:sz w:val="20"/>
          <w:szCs w:val="20"/>
        </w:rPr>
        <w:t>i</w:t>
      </w:r>
      <w:r w:rsidRPr="00005B30">
        <w:rPr>
          <w:rFonts w:ascii="Times New Roman" w:hAnsi="Times New Roman" w:cs="Times New Roman"/>
          <w:sz w:val="20"/>
          <w:szCs w:val="20"/>
        </w:rPr>
        <w:t xml:space="preserve">ntensifique los programas de concienciación y las campañas de educación de la ciudadanía para </w:t>
      </w:r>
      <w:r>
        <w:rPr>
          <w:rFonts w:ascii="Times New Roman" w:hAnsi="Times New Roman" w:cs="Times New Roman"/>
          <w:sz w:val="20"/>
          <w:szCs w:val="20"/>
        </w:rPr>
        <w:t xml:space="preserve">(…) </w:t>
      </w:r>
      <w:r w:rsidRPr="00005B30">
        <w:rPr>
          <w:rFonts w:ascii="Times New Roman" w:hAnsi="Times New Roman" w:cs="Times New Roman"/>
          <w:sz w:val="20"/>
          <w:szCs w:val="20"/>
        </w:rPr>
        <w:t xml:space="preserve">cambiar las actitudes estereotipadas y eliminar la discriminación por motivos </w:t>
      </w:r>
      <w:r w:rsidR="00734B27">
        <w:rPr>
          <w:rFonts w:ascii="Times New Roman" w:hAnsi="Times New Roman" w:cs="Times New Roman"/>
          <w:sz w:val="20"/>
          <w:szCs w:val="20"/>
        </w:rPr>
        <w:t xml:space="preserve">(…) como </w:t>
      </w:r>
      <w:r w:rsidRPr="00005B30">
        <w:rPr>
          <w:rFonts w:ascii="Times New Roman" w:hAnsi="Times New Roman" w:cs="Times New Roman"/>
          <w:i/>
          <w:iCs/>
          <w:sz w:val="20"/>
          <w:szCs w:val="20"/>
        </w:rPr>
        <w:t>la orientación o identidad de género (…)</w:t>
      </w:r>
      <w:r w:rsidRPr="00005B30">
        <w:rPr>
          <w:rFonts w:ascii="Times New Roman" w:hAnsi="Times New Roman" w:cs="Times New Roman"/>
          <w:sz w:val="20"/>
          <w:szCs w:val="20"/>
        </w:rPr>
        <w:t>; c) Adopte protocolos especiales para unificar los procedimientos de denuncia de los casos de violencia contra la mujer y centralice los sistemas existentes de reunión de datos para recopilar, desglosar y actualizar periódicamente los datos sobre dicha violencia”</w:t>
      </w:r>
      <w:r w:rsidR="003C3DF2">
        <w:rPr>
          <w:rFonts w:ascii="Times New Roman" w:hAnsi="Times New Roman" w:cs="Times New Roman"/>
          <w:sz w:val="20"/>
          <w:szCs w:val="20"/>
        </w:rPr>
        <w:t>.</w:t>
      </w:r>
      <w:r w:rsidR="00A47FF1" w:rsidRPr="00A47FF1">
        <w:rPr>
          <w:rFonts w:ascii="Times New Roman" w:eastAsia="Times New Roman" w:hAnsi="Times New Roman" w:cs="Times New Roman"/>
          <w:snapToGrid w:val="0"/>
          <w:sz w:val="20"/>
          <w:szCs w:val="20"/>
          <w:lang w:val="es-CO"/>
        </w:rPr>
        <w:t xml:space="preserve"> </w:t>
      </w:r>
      <w:r w:rsidR="00A47FF1" w:rsidRPr="00B23A09">
        <w:rPr>
          <w:rStyle w:val="Refdenotaalfinal"/>
          <w:rFonts w:ascii="Times New Roman" w:eastAsia="Times New Roman" w:hAnsi="Times New Roman" w:cs="Times New Roman"/>
          <w:snapToGrid w:val="0"/>
          <w:sz w:val="20"/>
          <w:szCs w:val="20"/>
          <w:lang w:val="es-CO"/>
        </w:rPr>
        <w:endnoteReference w:id="11"/>
      </w:r>
      <w:r w:rsidRPr="00005B30">
        <w:rPr>
          <w:rFonts w:ascii="Times New Roman" w:hAnsi="Times New Roman" w:cs="Times New Roman"/>
          <w:sz w:val="20"/>
          <w:szCs w:val="20"/>
        </w:rPr>
        <w:t xml:space="preserve"> </w:t>
      </w:r>
    </w:p>
    <w:bookmarkEnd w:id="1"/>
    <w:p w14:paraId="22834088" w14:textId="77777777" w:rsidR="00C65F3F" w:rsidRPr="00005B30" w:rsidRDefault="00C65F3F" w:rsidP="00C65F3F">
      <w:pPr>
        <w:pStyle w:val="Textoindependiente"/>
        <w:tabs>
          <w:tab w:val="left" w:pos="284"/>
        </w:tabs>
        <w:contextualSpacing/>
        <w:jc w:val="both"/>
        <w:rPr>
          <w:noProof/>
          <w:color w:val="000000" w:themeColor="text1"/>
          <w:sz w:val="20"/>
          <w:szCs w:val="20"/>
          <w:lang w:val="es-PE"/>
        </w:rPr>
      </w:pPr>
    </w:p>
    <w:p w14:paraId="204F5795" w14:textId="2C010F46" w:rsidR="00C65F3F" w:rsidRPr="00005B30" w:rsidRDefault="00C65F3F" w:rsidP="00C65F3F">
      <w:pPr>
        <w:pStyle w:val="Textoindependiente"/>
        <w:numPr>
          <w:ilvl w:val="0"/>
          <w:numId w:val="1"/>
        </w:numPr>
        <w:tabs>
          <w:tab w:val="left" w:pos="284"/>
        </w:tabs>
        <w:ind w:left="0" w:firstLine="0"/>
        <w:contextualSpacing/>
        <w:jc w:val="both"/>
        <w:rPr>
          <w:noProof/>
          <w:sz w:val="20"/>
          <w:szCs w:val="20"/>
          <w:lang w:val="es-PE"/>
        </w:rPr>
      </w:pPr>
      <w:r w:rsidRPr="00005B30">
        <w:rPr>
          <w:noProof/>
          <w:color w:val="000000" w:themeColor="text1"/>
          <w:sz w:val="20"/>
          <w:szCs w:val="20"/>
          <w:lang w:val="es-PE"/>
        </w:rPr>
        <w:t>Cabe mencionar que, uno de los principales desafíos de las personas LGBT (en especial de las mujeres en su diversidad) es el acceso a la justicia. Al respecto, la Defensoría del Pueblo señaló “</w:t>
      </w:r>
      <w:r w:rsidRPr="00005B30">
        <w:rPr>
          <w:i/>
          <w:iCs/>
          <w:noProof/>
          <w:color w:val="000000" w:themeColor="text1"/>
          <w:sz w:val="20"/>
          <w:szCs w:val="20"/>
          <w:lang w:val="es-PE"/>
        </w:rPr>
        <w:t>se advierte un fuerte rechazo y desconfianza de denunciar estos delitos ante el sistema de justicia, porque se le percibe ineficaz en la investigación de estos hechos, o por considerar que se encuentra también impregnada de prejuicios y esterotipos negativos</w:t>
      </w:r>
      <w:r w:rsidRPr="00005B30">
        <w:rPr>
          <w:noProof/>
          <w:color w:val="000000" w:themeColor="text1"/>
          <w:sz w:val="20"/>
          <w:szCs w:val="20"/>
          <w:lang w:val="es-PE"/>
        </w:rPr>
        <w:t>”</w:t>
      </w:r>
      <w:r w:rsidR="003C3DF2" w:rsidRPr="00B23A09">
        <w:rPr>
          <w:rStyle w:val="Refdenotaalfinal"/>
          <w:snapToGrid w:val="0"/>
          <w:sz w:val="20"/>
          <w:szCs w:val="20"/>
          <w:lang w:val="es-CO"/>
        </w:rPr>
        <w:endnoteReference w:id="12"/>
      </w:r>
      <w:r w:rsidRPr="00005B30">
        <w:rPr>
          <w:noProof/>
          <w:color w:val="000000" w:themeColor="text1"/>
          <w:sz w:val="20"/>
          <w:szCs w:val="20"/>
          <w:lang w:val="es-PE"/>
        </w:rPr>
        <w:t>. Entre los principales obstáculos se encuentran: prejuicios y negligencia por parte de las autoridades, estereotipos, revictimización, valoración de las pruebas, pocas e inadecuadas medidas de protección e impunidad. Aunado a esto, la demora y la dilación de los procesos judiciales</w:t>
      </w:r>
      <w:r>
        <w:rPr>
          <w:noProof/>
          <w:color w:val="000000" w:themeColor="text1"/>
          <w:sz w:val="20"/>
          <w:szCs w:val="20"/>
          <w:lang w:val="es-PE"/>
        </w:rPr>
        <w:t xml:space="preserve">. Tal como </w:t>
      </w:r>
      <w:r w:rsidR="00DB35C4">
        <w:rPr>
          <w:noProof/>
          <w:color w:val="000000" w:themeColor="text1"/>
          <w:sz w:val="20"/>
          <w:szCs w:val="20"/>
          <w:lang w:val="es-PE"/>
        </w:rPr>
        <w:t>lo relata el siguiente caso</w:t>
      </w:r>
      <w:r w:rsidR="003C3DF2" w:rsidRPr="00FF33D3">
        <w:rPr>
          <w:rStyle w:val="Refdenotaalfinal"/>
          <w:sz w:val="20"/>
          <w:szCs w:val="20"/>
          <w:lang w:val="es-419"/>
        </w:rPr>
        <w:endnoteReference w:id="13"/>
      </w:r>
      <w:r>
        <w:rPr>
          <w:noProof/>
          <w:color w:val="000000" w:themeColor="text1"/>
          <w:sz w:val="20"/>
          <w:szCs w:val="20"/>
          <w:lang w:val="es-PE"/>
        </w:rPr>
        <w:t xml:space="preserve">: </w:t>
      </w:r>
    </w:p>
    <w:p w14:paraId="1EDFAF1F" w14:textId="77777777" w:rsidR="00C65F3F" w:rsidRPr="00005B30" w:rsidRDefault="00C65F3F" w:rsidP="00C65F3F">
      <w:pPr>
        <w:pStyle w:val="Textoindependiente"/>
        <w:tabs>
          <w:tab w:val="left" w:pos="284"/>
        </w:tabs>
        <w:contextualSpacing/>
        <w:jc w:val="both"/>
        <w:rPr>
          <w:sz w:val="20"/>
          <w:szCs w:val="20"/>
          <w:highlight w:val="yellow"/>
          <w:lang w:val="es-PE"/>
        </w:rPr>
      </w:pPr>
    </w:p>
    <w:p w14:paraId="181DD27E" w14:textId="54234527" w:rsidR="00C65F3F" w:rsidRPr="00005B30" w:rsidRDefault="00C65F3F" w:rsidP="00C65F3F">
      <w:pPr>
        <w:pStyle w:val="Prrafodelista"/>
        <w:numPr>
          <w:ilvl w:val="0"/>
          <w:numId w:val="3"/>
        </w:numPr>
        <w:tabs>
          <w:tab w:val="left" w:pos="284"/>
          <w:tab w:val="left" w:pos="7938"/>
        </w:tabs>
        <w:spacing w:after="0" w:line="240" w:lineRule="auto"/>
        <w:jc w:val="both"/>
        <w:rPr>
          <w:rFonts w:ascii="Times New Roman" w:hAnsi="Times New Roman" w:cs="Times New Roman"/>
          <w:sz w:val="20"/>
          <w:szCs w:val="20"/>
        </w:rPr>
      </w:pPr>
      <w:r>
        <w:rPr>
          <w:rFonts w:ascii="Times New Roman" w:hAnsi="Times New Roman" w:cs="Times New Roman"/>
          <w:b/>
          <w:bCs/>
          <w:noProof/>
          <w:color w:val="000000" w:themeColor="text1"/>
          <w:sz w:val="20"/>
          <w:szCs w:val="20"/>
        </w:rPr>
        <w:t>A.R.M.</w:t>
      </w:r>
      <w:r w:rsidRPr="00005B30">
        <w:rPr>
          <w:rFonts w:ascii="Times New Roman" w:hAnsi="Times New Roman" w:cs="Times New Roman"/>
          <w:b/>
          <w:bCs/>
          <w:noProof/>
          <w:color w:val="000000" w:themeColor="text1"/>
          <w:sz w:val="20"/>
          <w:szCs w:val="20"/>
        </w:rPr>
        <w:t xml:space="preserve">  (2008)</w:t>
      </w:r>
      <w:r w:rsidRPr="00005B30">
        <w:rPr>
          <w:rFonts w:ascii="Times New Roman" w:hAnsi="Times New Roman" w:cs="Times New Roman"/>
          <w:noProof/>
          <w:color w:val="000000" w:themeColor="text1"/>
          <w:sz w:val="20"/>
          <w:szCs w:val="20"/>
        </w:rPr>
        <w:t>, es una mujer transexual, quien fue detenida de manera ilegal y arbitraria por personal del serenazgo</w:t>
      </w:r>
      <w:r w:rsidR="00103F24" w:rsidRPr="00FF33D3">
        <w:rPr>
          <w:rFonts w:ascii="Times New Roman" w:eastAsia="Cambria" w:hAnsi="Times New Roman" w:cs="Times New Roman"/>
          <w:sz w:val="20"/>
          <w:szCs w:val="20"/>
          <w:vertAlign w:val="superscript"/>
          <w:lang w:val="es-419"/>
        </w:rPr>
        <w:endnoteReference w:id="14"/>
      </w:r>
      <w:r w:rsidRPr="00005B30">
        <w:rPr>
          <w:rFonts w:ascii="Times New Roman" w:hAnsi="Times New Roman" w:cs="Times New Roman"/>
          <w:noProof/>
          <w:color w:val="000000" w:themeColor="text1"/>
          <w:sz w:val="20"/>
          <w:szCs w:val="20"/>
        </w:rPr>
        <w:t xml:space="preserve"> y un agente policial, cuando se dirigía a su domicilio la madrugada del 25 de febrero de 2008. Durante su estancia en la comisaria fue víctima de golpes y agravios verbales, para luego ser desnudada a la fuerza, mientras un tercero le introdujo una vara de goma en el recto en dos ocasiones, causándoles lesiones; todo ello relacionado con insultos por su orientación sexual. Ante la inoperancia del sistema de justicia y las dilaciones innecesarias, se acude a la CIDH (la Comisión)</w:t>
      </w:r>
      <w:r w:rsidR="00BE297E">
        <w:rPr>
          <w:rFonts w:ascii="Times New Roman" w:hAnsi="Times New Roman" w:cs="Times New Roman"/>
          <w:noProof/>
          <w:color w:val="000000" w:themeColor="text1"/>
          <w:sz w:val="20"/>
          <w:szCs w:val="20"/>
        </w:rPr>
        <w:t>,</w:t>
      </w:r>
      <w:r w:rsidRPr="00005B30">
        <w:rPr>
          <w:rFonts w:ascii="Times New Roman" w:hAnsi="Times New Roman" w:cs="Times New Roman"/>
          <w:noProof/>
          <w:color w:val="000000" w:themeColor="text1"/>
          <w:sz w:val="20"/>
          <w:szCs w:val="20"/>
        </w:rPr>
        <w:t xml:space="preserve"> sustentado la excepción de agotamiento de recursos internos</w:t>
      </w:r>
      <w:r w:rsidR="003E6226" w:rsidRPr="00FF33D3">
        <w:rPr>
          <w:rFonts w:ascii="Times New Roman" w:eastAsia="Cambria" w:hAnsi="Times New Roman" w:cs="Times New Roman"/>
          <w:sz w:val="20"/>
          <w:szCs w:val="20"/>
          <w:vertAlign w:val="superscript"/>
          <w:lang w:val="es-419"/>
        </w:rPr>
        <w:endnoteReference w:id="15"/>
      </w:r>
      <w:r w:rsidR="00961C55" w:rsidRPr="00A551FD">
        <w:rPr>
          <w:rFonts w:ascii="Times New Roman" w:eastAsia="Cambria" w:hAnsi="Times New Roman" w:cs="Times New Roman"/>
          <w:sz w:val="20"/>
          <w:szCs w:val="20"/>
          <w:lang w:val="es-419"/>
        </w:rPr>
        <w:t>.</w:t>
      </w:r>
      <w:r w:rsidRPr="00005B30">
        <w:rPr>
          <w:rFonts w:ascii="Times New Roman" w:hAnsi="Times New Roman" w:cs="Times New Roman"/>
          <w:noProof/>
          <w:color w:val="000000" w:themeColor="text1"/>
          <w:sz w:val="20"/>
          <w:szCs w:val="20"/>
        </w:rPr>
        <w:t xml:space="preserve"> El 27 de agosto de 2018 la CIDH presentó el caso ante la Corte Interamericana de Derechos Humanos,</w:t>
      </w:r>
      <w:r w:rsidR="003F1014">
        <w:rPr>
          <w:rFonts w:ascii="Times New Roman" w:hAnsi="Times New Roman" w:cs="Times New Roman"/>
          <w:noProof/>
          <w:color w:val="000000" w:themeColor="text1"/>
          <w:sz w:val="20"/>
          <w:szCs w:val="20"/>
        </w:rPr>
        <w:t xml:space="preserve"> por la </w:t>
      </w:r>
      <w:r w:rsidRPr="00005B30">
        <w:rPr>
          <w:rFonts w:ascii="Times New Roman" w:hAnsi="Times New Roman" w:cs="Times New Roman"/>
          <w:noProof/>
          <w:color w:val="000000" w:themeColor="text1"/>
          <w:sz w:val="20"/>
          <w:szCs w:val="20"/>
        </w:rPr>
        <w:t>existencia de graves actos de violencia física y psicológica</w:t>
      </w:r>
      <w:r w:rsidR="003F1014">
        <w:rPr>
          <w:rFonts w:ascii="Times New Roman" w:hAnsi="Times New Roman" w:cs="Times New Roman"/>
          <w:noProof/>
          <w:color w:val="000000" w:themeColor="text1"/>
          <w:sz w:val="20"/>
          <w:szCs w:val="20"/>
        </w:rPr>
        <w:t xml:space="preserve"> y </w:t>
      </w:r>
      <w:r w:rsidRPr="00005B30">
        <w:rPr>
          <w:rFonts w:ascii="Times New Roman" w:hAnsi="Times New Roman" w:cs="Times New Roman"/>
          <w:noProof/>
          <w:color w:val="000000" w:themeColor="text1"/>
          <w:sz w:val="20"/>
          <w:szCs w:val="20"/>
        </w:rPr>
        <w:t>violación sexual en contra de A</w:t>
      </w:r>
      <w:r w:rsidR="003F1014">
        <w:rPr>
          <w:rFonts w:ascii="Times New Roman" w:hAnsi="Times New Roman" w:cs="Times New Roman"/>
          <w:noProof/>
          <w:color w:val="000000" w:themeColor="text1"/>
          <w:sz w:val="20"/>
          <w:szCs w:val="20"/>
        </w:rPr>
        <w:t>.</w:t>
      </w:r>
      <w:r w:rsidRPr="00005B30">
        <w:rPr>
          <w:rFonts w:ascii="Times New Roman" w:hAnsi="Times New Roman" w:cs="Times New Roman"/>
          <w:noProof/>
          <w:color w:val="000000" w:themeColor="text1"/>
          <w:sz w:val="20"/>
          <w:szCs w:val="20"/>
        </w:rPr>
        <w:t>R</w:t>
      </w:r>
      <w:r w:rsidR="003F1014">
        <w:rPr>
          <w:rFonts w:ascii="Times New Roman" w:hAnsi="Times New Roman" w:cs="Times New Roman"/>
          <w:noProof/>
          <w:color w:val="000000" w:themeColor="text1"/>
          <w:sz w:val="20"/>
          <w:szCs w:val="20"/>
        </w:rPr>
        <w:t>.M.</w:t>
      </w:r>
      <w:r w:rsidRPr="00005B30">
        <w:rPr>
          <w:rStyle w:val="Refdenotaalpie"/>
          <w:rFonts w:ascii="Times New Roman" w:hAnsi="Times New Roman" w:cs="Times New Roman"/>
          <w:noProof/>
          <w:color w:val="000000" w:themeColor="text1"/>
          <w:sz w:val="20"/>
          <w:szCs w:val="20"/>
        </w:rPr>
        <w:t xml:space="preserve"> </w:t>
      </w:r>
      <w:r w:rsidR="00961C55" w:rsidRPr="00FF33D3">
        <w:rPr>
          <w:rStyle w:val="Refdenotaalfinal"/>
          <w:rFonts w:ascii="Times New Roman" w:hAnsi="Times New Roman" w:cs="Times New Roman"/>
          <w:sz w:val="20"/>
          <w:szCs w:val="20"/>
          <w:lang w:val="es-419"/>
        </w:rPr>
        <w:endnoteReference w:id="16"/>
      </w:r>
      <w:r w:rsidRPr="00005B30">
        <w:rPr>
          <w:rFonts w:ascii="Times New Roman" w:hAnsi="Times New Roman" w:cs="Times New Roman"/>
          <w:noProof/>
          <w:color w:val="000000" w:themeColor="text1"/>
          <w:sz w:val="20"/>
          <w:szCs w:val="20"/>
        </w:rPr>
        <w:t>. Asimismo, la Comisión consideró que lo sucedido a Azul “debe ser entendido como violencia por prejuicio y además que se encuentran presentes los elementos constitutivos de la tortura”</w:t>
      </w:r>
      <w:r w:rsidR="009B2C68">
        <w:rPr>
          <w:rFonts w:ascii="Times New Roman" w:hAnsi="Times New Roman" w:cs="Times New Roman"/>
          <w:noProof/>
          <w:color w:val="000000" w:themeColor="text1"/>
          <w:sz w:val="20"/>
          <w:szCs w:val="20"/>
        </w:rPr>
        <w:t>.</w:t>
      </w:r>
      <w:r w:rsidR="00961C55" w:rsidRPr="00961C55">
        <w:rPr>
          <w:rFonts w:ascii="Times New Roman" w:eastAsia="Times New Roman" w:hAnsi="Times New Roman" w:cs="Times New Roman"/>
          <w:sz w:val="20"/>
          <w:szCs w:val="20"/>
          <w:lang w:val="es-419" w:eastAsia="es-PE"/>
        </w:rPr>
        <w:t xml:space="preserve"> </w:t>
      </w:r>
      <w:r w:rsidR="00961C55" w:rsidRPr="00FF33D3">
        <w:rPr>
          <w:rStyle w:val="Refdenotaalfinal"/>
          <w:rFonts w:ascii="Times New Roman" w:eastAsia="Times New Roman" w:hAnsi="Times New Roman" w:cs="Times New Roman"/>
          <w:sz w:val="20"/>
          <w:szCs w:val="20"/>
          <w:lang w:val="es-419" w:eastAsia="es-PE"/>
        </w:rPr>
        <w:endnoteReference w:id="17"/>
      </w:r>
    </w:p>
    <w:p w14:paraId="1B1E9D12" w14:textId="6624ADE2" w:rsidR="00C65F3F" w:rsidRPr="00005B30" w:rsidRDefault="00C65F3F" w:rsidP="00C65F3F">
      <w:pPr>
        <w:pStyle w:val="Prrafodelista"/>
        <w:tabs>
          <w:tab w:val="left" w:pos="284"/>
          <w:tab w:val="left" w:pos="7938"/>
        </w:tabs>
        <w:spacing w:after="0" w:line="240" w:lineRule="auto"/>
        <w:jc w:val="both"/>
        <w:rPr>
          <w:rFonts w:ascii="Times New Roman" w:hAnsi="Times New Roman" w:cs="Times New Roman"/>
          <w:sz w:val="20"/>
          <w:szCs w:val="20"/>
        </w:rPr>
      </w:pPr>
    </w:p>
    <w:p w14:paraId="47CC69DF" w14:textId="7C3B6301" w:rsidR="00C65F3F" w:rsidRPr="00005B30" w:rsidRDefault="00D963A9" w:rsidP="00C65F3F">
      <w:pPr>
        <w:pStyle w:val="Prrafodelista"/>
        <w:numPr>
          <w:ilvl w:val="0"/>
          <w:numId w:val="1"/>
        </w:numPr>
        <w:tabs>
          <w:tab w:val="left" w:pos="426"/>
        </w:tabs>
        <w:spacing w:after="0" w:line="240" w:lineRule="auto"/>
        <w:ind w:left="0" w:firstLine="0"/>
        <w:jc w:val="both"/>
        <w:rPr>
          <w:rFonts w:ascii="Times New Roman" w:hAnsi="Times New Roman" w:cs="Times New Roman"/>
          <w:bCs/>
          <w:sz w:val="20"/>
          <w:szCs w:val="20"/>
        </w:rPr>
      </w:pPr>
      <w:bookmarkStart w:id="2" w:name="_Hlk40618845"/>
      <w:r>
        <w:rPr>
          <w:rFonts w:ascii="Times New Roman" w:hAnsi="Times New Roman" w:cs="Times New Roman"/>
          <w:bCs/>
          <w:sz w:val="20"/>
          <w:szCs w:val="20"/>
        </w:rPr>
        <w:t>E</w:t>
      </w:r>
      <w:r w:rsidR="00C65F3F" w:rsidRPr="00005B30">
        <w:rPr>
          <w:rFonts w:ascii="Times New Roman" w:hAnsi="Times New Roman" w:cs="Times New Roman"/>
          <w:bCs/>
          <w:sz w:val="20"/>
          <w:szCs w:val="20"/>
        </w:rPr>
        <w:t xml:space="preserve">l 6 de enero de 2017 se aprobó el </w:t>
      </w:r>
      <w:r w:rsidR="00C65F3F" w:rsidRPr="00005B30">
        <w:rPr>
          <w:rFonts w:ascii="Times New Roman" w:hAnsi="Times New Roman" w:cs="Times New Roman"/>
          <w:bCs/>
          <w:i/>
          <w:iCs/>
          <w:sz w:val="20"/>
          <w:szCs w:val="20"/>
        </w:rPr>
        <w:t xml:space="preserve">Decreto Legislativo </w:t>
      </w:r>
      <w:proofErr w:type="spellStart"/>
      <w:r w:rsidR="00C65F3F" w:rsidRPr="00005B30">
        <w:rPr>
          <w:rFonts w:ascii="Times New Roman" w:hAnsi="Times New Roman" w:cs="Times New Roman"/>
          <w:bCs/>
          <w:i/>
          <w:iCs/>
          <w:sz w:val="20"/>
          <w:szCs w:val="20"/>
        </w:rPr>
        <w:t>N°</w:t>
      </w:r>
      <w:proofErr w:type="spellEnd"/>
      <w:r w:rsidR="00C65F3F" w:rsidRPr="00005B30">
        <w:rPr>
          <w:rFonts w:ascii="Times New Roman" w:hAnsi="Times New Roman" w:cs="Times New Roman"/>
          <w:bCs/>
          <w:i/>
          <w:iCs/>
          <w:sz w:val="20"/>
          <w:szCs w:val="20"/>
        </w:rPr>
        <w:t xml:space="preserve"> 1323</w:t>
      </w:r>
      <w:r w:rsidR="00961C55" w:rsidRPr="00D831EB">
        <w:rPr>
          <w:rStyle w:val="Refdenotaalfinal"/>
          <w:rFonts w:ascii="Times New Roman" w:eastAsia="Times New Roman" w:hAnsi="Times New Roman" w:cs="Times New Roman"/>
          <w:sz w:val="20"/>
          <w:szCs w:val="20"/>
          <w:lang w:val="es-419" w:eastAsia="fr-CA"/>
        </w:rPr>
        <w:endnoteReference w:id="18"/>
      </w:r>
      <w:r w:rsidR="00C65F3F" w:rsidRPr="00005B30">
        <w:rPr>
          <w:rFonts w:ascii="Times New Roman" w:hAnsi="Times New Roman" w:cs="Times New Roman"/>
          <w:bCs/>
          <w:i/>
          <w:iCs/>
          <w:sz w:val="20"/>
          <w:szCs w:val="20"/>
        </w:rPr>
        <w:t xml:space="preserve"> que fortalece la lucha contra el feminicidio, la violencia familiar y la violencia de género</w:t>
      </w:r>
      <w:r w:rsidR="00C65F3F" w:rsidRPr="00005B30">
        <w:rPr>
          <w:rFonts w:ascii="Times New Roman" w:hAnsi="Times New Roman" w:cs="Times New Roman"/>
          <w:bCs/>
          <w:sz w:val="20"/>
          <w:szCs w:val="20"/>
        </w:rPr>
        <w:t xml:space="preserve">, mediante el cual, </w:t>
      </w:r>
      <w:r w:rsidR="00875629">
        <w:rPr>
          <w:rFonts w:ascii="Times New Roman" w:hAnsi="Times New Roman" w:cs="Times New Roman"/>
          <w:bCs/>
          <w:sz w:val="20"/>
          <w:szCs w:val="20"/>
        </w:rPr>
        <w:t xml:space="preserve">se </w:t>
      </w:r>
      <w:r w:rsidR="00C65F3F" w:rsidRPr="00005B30">
        <w:rPr>
          <w:rFonts w:ascii="Times New Roman" w:hAnsi="Times New Roman" w:cs="Times New Roman"/>
          <w:bCs/>
          <w:sz w:val="20"/>
          <w:szCs w:val="20"/>
        </w:rPr>
        <w:t>incorpor</w:t>
      </w:r>
      <w:r w:rsidR="00875629">
        <w:rPr>
          <w:rFonts w:ascii="Times New Roman" w:hAnsi="Times New Roman" w:cs="Times New Roman"/>
          <w:bCs/>
          <w:sz w:val="20"/>
          <w:szCs w:val="20"/>
        </w:rPr>
        <w:t>aron</w:t>
      </w:r>
      <w:r w:rsidR="00C65F3F" w:rsidRPr="00005B30">
        <w:rPr>
          <w:rFonts w:ascii="Times New Roman" w:hAnsi="Times New Roman" w:cs="Times New Roman"/>
          <w:bCs/>
          <w:sz w:val="20"/>
          <w:szCs w:val="20"/>
        </w:rPr>
        <w:t xml:space="preserve"> modificaciones al artículo 46 (circunstancias de atenuación y agravación) y 323 (Delito de Discriminación) con el objeto de sancionar con mayores penas la violencia de género motivada por la discriminación por </w:t>
      </w:r>
      <w:r w:rsidR="00C65F3F" w:rsidRPr="00005B30">
        <w:rPr>
          <w:rFonts w:ascii="Times New Roman" w:hAnsi="Times New Roman" w:cs="Times New Roman"/>
          <w:bCs/>
          <w:i/>
          <w:iCs/>
          <w:sz w:val="20"/>
          <w:szCs w:val="20"/>
        </w:rPr>
        <w:t>orientación sexual y/o identidad de género</w:t>
      </w:r>
      <w:r w:rsidR="00C65F3F" w:rsidRPr="00005B30">
        <w:rPr>
          <w:rFonts w:ascii="Times New Roman" w:hAnsi="Times New Roman" w:cs="Times New Roman"/>
          <w:bCs/>
          <w:sz w:val="20"/>
          <w:szCs w:val="20"/>
        </w:rPr>
        <w:t xml:space="preserve"> de las personas</w:t>
      </w:r>
      <w:r w:rsidR="00875629">
        <w:rPr>
          <w:rFonts w:ascii="Times New Roman" w:hAnsi="Times New Roman" w:cs="Times New Roman"/>
          <w:bCs/>
          <w:sz w:val="20"/>
          <w:szCs w:val="20"/>
        </w:rPr>
        <w:t xml:space="preserve">, </w:t>
      </w:r>
      <w:r w:rsidR="00C65F3F" w:rsidRPr="00005B30">
        <w:rPr>
          <w:rFonts w:ascii="Times New Roman" w:hAnsi="Times New Roman" w:cs="Times New Roman"/>
          <w:bCs/>
          <w:sz w:val="20"/>
          <w:szCs w:val="20"/>
        </w:rPr>
        <w:t>explicita</w:t>
      </w:r>
      <w:r w:rsidR="00875629">
        <w:rPr>
          <w:rFonts w:ascii="Times New Roman" w:hAnsi="Times New Roman" w:cs="Times New Roman"/>
          <w:bCs/>
          <w:sz w:val="20"/>
          <w:szCs w:val="20"/>
        </w:rPr>
        <w:t>ndo</w:t>
      </w:r>
      <w:r w:rsidR="00C65F3F" w:rsidRPr="00005B30">
        <w:rPr>
          <w:rFonts w:ascii="Times New Roman" w:hAnsi="Times New Roman" w:cs="Times New Roman"/>
          <w:bCs/>
          <w:sz w:val="20"/>
          <w:szCs w:val="20"/>
        </w:rPr>
        <w:t xml:space="preserve"> por primera vez, que también se sancionaría la discriminación basada en dichas categorías. </w:t>
      </w:r>
    </w:p>
    <w:p w14:paraId="08067D69" w14:textId="77777777" w:rsidR="00C65F3F" w:rsidRPr="00005B30" w:rsidRDefault="00C65F3F" w:rsidP="00C65F3F">
      <w:pPr>
        <w:pStyle w:val="Prrafodelista"/>
        <w:spacing w:after="0" w:line="240" w:lineRule="auto"/>
        <w:rPr>
          <w:rFonts w:ascii="Times New Roman" w:hAnsi="Times New Roman" w:cs="Times New Roman"/>
          <w:bCs/>
          <w:sz w:val="20"/>
          <w:szCs w:val="20"/>
        </w:rPr>
      </w:pPr>
    </w:p>
    <w:p w14:paraId="583597CD" w14:textId="47198006" w:rsidR="00D64B2E" w:rsidRDefault="00D64B2E" w:rsidP="00D64B2E">
      <w:pPr>
        <w:pStyle w:val="Prrafodelista"/>
        <w:numPr>
          <w:ilvl w:val="0"/>
          <w:numId w:val="1"/>
        </w:numPr>
        <w:tabs>
          <w:tab w:val="left" w:pos="426"/>
        </w:tabs>
        <w:spacing w:after="0" w:line="240" w:lineRule="auto"/>
        <w:ind w:left="0" w:firstLine="0"/>
        <w:jc w:val="both"/>
        <w:rPr>
          <w:rFonts w:ascii="Times New Roman" w:hAnsi="Times New Roman" w:cs="Times New Roman"/>
          <w:bCs/>
          <w:sz w:val="20"/>
          <w:szCs w:val="20"/>
        </w:rPr>
      </w:pPr>
      <w:r>
        <w:rPr>
          <w:rFonts w:ascii="Times New Roman" w:hAnsi="Times New Roman" w:cs="Times New Roman"/>
          <w:bCs/>
          <w:sz w:val="20"/>
          <w:szCs w:val="20"/>
        </w:rPr>
        <w:t xml:space="preserve">Actualmente, </w:t>
      </w:r>
      <w:r w:rsidR="00C65F3F" w:rsidRPr="00005B30">
        <w:rPr>
          <w:rFonts w:ascii="Times New Roman" w:hAnsi="Times New Roman" w:cs="Times New Roman"/>
          <w:bCs/>
          <w:sz w:val="20"/>
          <w:szCs w:val="20"/>
        </w:rPr>
        <w:t xml:space="preserve">este Decreto Legislativo está vigente, </w:t>
      </w:r>
      <w:r>
        <w:rPr>
          <w:rFonts w:ascii="Times New Roman" w:hAnsi="Times New Roman" w:cs="Times New Roman"/>
          <w:bCs/>
          <w:sz w:val="20"/>
          <w:szCs w:val="20"/>
        </w:rPr>
        <w:t xml:space="preserve">sin embargo, </w:t>
      </w:r>
      <w:r w:rsidRPr="00005B30">
        <w:rPr>
          <w:rFonts w:ascii="Times New Roman" w:hAnsi="Times New Roman" w:cs="Times New Roman"/>
          <w:bCs/>
          <w:sz w:val="20"/>
          <w:szCs w:val="20"/>
        </w:rPr>
        <w:t>el 04 de abril de 2017 la Comisión de Constitución y Reglamento</w:t>
      </w:r>
      <w:r>
        <w:rPr>
          <w:rFonts w:ascii="Times New Roman" w:hAnsi="Times New Roman" w:cs="Times New Roman"/>
          <w:bCs/>
          <w:sz w:val="20"/>
          <w:szCs w:val="20"/>
        </w:rPr>
        <w:t xml:space="preserve"> del Congreso de la República</w:t>
      </w:r>
      <w:r w:rsidRPr="00005B30">
        <w:rPr>
          <w:rFonts w:ascii="Times New Roman" w:hAnsi="Times New Roman" w:cs="Times New Roman"/>
          <w:bCs/>
          <w:sz w:val="20"/>
          <w:szCs w:val="20"/>
        </w:rPr>
        <w:t>, votó por recomendar al Pleno del Congreso la derogación parcial del DL, con el objetivo de dejar sin efecto las modificaciones señaladas en favor de las personas LGBT en el país</w:t>
      </w:r>
      <w:r w:rsidR="00961C55" w:rsidRPr="00AD61BA">
        <w:rPr>
          <w:rFonts w:ascii="Times New Roman" w:hAnsi="Times New Roman" w:cs="Times New Roman"/>
          <w:vertAlign w:val="superscript"/>
          <w:lang w:val="es-419"/>
        </w:rPr>
        <w:endnoteReference w:id="19"/>
      </w:r>
      <w:r w:rsidRPr="00005B30">
        <w:rPr>
          <w:rFonts w:ascii="Times New Roman" w:hAnsi="Times New Roman" w:cs="Times New Roman"/>
          <w:bCs/>
          <w:sz w:val="20"/>
          <w:szCs w:val="20"/>
        </w:rPr>
        <w:t>, por considerar que la violencia en su contra no puede ser considerada como violencia de género y que la prohibición de discriminación contra las personas LGBT es un tema “controversial”</w:t>
      </w:r>
      <w:r w:rsidR="00E2113C">
        <w:rPr>
          <w:rFonts w:ascii="Times New Roman" w:hAnsi="Times New Roman" w:cs="Times New Roman"/>
          <w:bCs/>
          <w:sz w:val="20"/>
          <w:szCs w:val="20"/>
        </w:rPr>
        <w:t>,</w:t>
      </w:r>
      <w:r w:rsidRPr="00005B30">
        <w:rPr>
          <w:rFonts w:ascii="Times New Roman" w:hAnsi="Times New Roman" w:cs="Times New Roman"/>
          <w:bCs/>
          <w:sz w:val="20"/>
          <w:szCs w:val="20"/>
        </w:rPr>
        <w:t xml:space="preserve"> desconociendo que es obligación del Estado cumplir con sus obligaciones internacionales que le exigen sancionar la violencia y discriminación contra las personas LGBT. </w:t>
      </w:r>
    </w:p>
    <w:p w14:paraId="0990ED82" w14:textId="77777777" w:rsidR="00115E43" w:rsidRPr="00115E43" w:rsidRDefault="00115E43" w:rsidP="00115E43">
      <w:pPr>
        <w:pStyle w:val="Prrafodelista"/>
        <w:rPr>
          <w:rFonts w:ascii="Times New Roman" w:hAnsi="Times New Roman" w:cs="Times New Roman"/>
          <w:bCs/>
          <w:sz w:val="20"/>
          <w:szCs w:val="20"/>
        </w:rPr>
      </w:pPr>
    </w:p>
    <w:bookmarkEnd w:id="2"/>
    <w:p w14:paraId="685E1DF4" w14:textId="77777777" w:rsidR="00C65F3F" w:rsidRPr="00005B30" w:rsidRDefault="00C65F3F" w:rsidP="00C65F3F">
      <w:pPr>
        <w:pStyle w:val="Prrafodelista"/>
        <w:tabs>
          <w:tab w:val="left" w:pos="142"/>
          <w:tab w:val="left" w:pos="284"/>
          <w:tab w:val="left" w:pos="426"/>
        </w:tabs>
        <w:spacing w:after="0" w:line="240" w:lineRule="auto"/>
        <w:ind w:left="0"/>
        <w:jc w:val="both"/>
        <w:rPr>
          <w:rFonts w:ascii="Times New Roman" w:hAnsi="Times New Roman" w:cs="Times New Roman"/>
          <w:bCs/>
          <w:i/>
          <w:iCs/>
          <w:sz w:val="20"/>
          <w:szCs w:val="20"/>
        </w:rPr>
      </w:pPr>
      <w:r w:rsidRPr="00005B30">
        <w:rPr>
          <w:rFonts w:ascii="Times New Roman" w:hAnsi="Times New Roman" w:cs="Times New Roman"/>
          <w:bCs/>
          <w:i/>
          <w:iCs/>
          <w:sz w:val="20"/>
          <w:szCs w:val="20"/>
        </w:rPr>
        <w:t>La violencia institucional se agrava en la emergencia sanitaria</w:t>
      </w:r>
      <w:r w:rsidRPr="00005B30">
        <w:rPr>
          <w:rFonts w:ascii="Times New Roman" w:hAnsi="Times New Roman" w:cs="Times New Roman"/>
          <w:bCs/>
          <w:i/>
          <w:iCs/>
          <w:sz w:val="20"/>
          <w:szCs w:val="20"/>
          <w:lang w:val="es-ES"/>
        </w:rPr>
        <w:t xml:space="preserve"> del COVID 19</w:t>
      </w:r>
    </w:p>
    <w:p w14:paraId="7DB01592" w14:textId="77777777" w:rsidR="00C65F3F" w:rsidRPr="00005B30" w:rsidRDefault="00C65F3F" w:rsidP="00C65F3F">
      <w:pPr>
        <w:pStyle w:val="Prrafodelista"/>
        <w:tabs>
          <w:tab w:val="left" w:pos="142"/>
          <w:tab w:val="left" w:pos="284"/>
        </w:tabs>
        <w:spacing w:after="0" w:line="240" w:lineRule="auto"/>
        <w:ind w:left="0"/>
        <w:jc w:val="both"/>
        <w:rPr>
          <w:rFonts w:ascii="Times New Roman" w:hAnsi="Times New Roman" w:cs="Times New Roman"/>
          <w:bCs/>
          <w:sz w:val="20"/>
          <w:szCs w:val="20"/>
        </w:rPr>
      </w:pPr>
    </w:p>
    <w:p w14:paraId="67386C83" w14:textId="04380D7C" w:rsidR="00C65F3F" w:rsidRPr="006E6E81" w:rsidRDefault="00C65F3F" w:rsidP="00C65F3F">
      <w:pPr>
        <w:pStyle w:val="Prrafodelista"/>
        <w:numPr>
          <w:ilvl w:val="0"/>
          <w:numId w:val="1"/>
        </w:numPr>
        <w:tabs>
          <w:tab w:val="left" w:pos="142"/>
          <w:tab w:val="left" w:pos="426"/>
        </w:tabs>
        <w:spacing w:after="0" w:line="240" w:lineRule="auto"/>
        <w:ind w:left="0" w:firstLine="0"/>
        <w:jc w:val="both"/>
        <w:rPr>
          <w:rFonts w:ascii="Times New Roman" w:hAnsi="Times New Roman" w:cs="Times New Roman"/>
          <w:bCs/>
          <w:sz w:val="20"/>
          <w:szCs w:val="20"/>
        </w:rPr>
      </w:pPr>
      <w:r w:rsidRPr="006E6E81">
        <w:rPr>
          <w:rFonts w:ascii="Times New Roman" w:hAnsi="Times New Roman" w:cs="Times New Roman"/>
          <w:bCs/>
          <w:sz w:val="20"/>
          <w:szCs w:val="20"/>
        </w:rPr>
        <w:t xml:space="preserve">Lamentablemente, en el marco del contexto de emergencia sanitaria por el COVID 19, la violencia institucional ha continuado. </w:t>
      </w:r>
      <w:r w:rsidRPr="006E6E81">
        <w:rPr>
          <w:rFonts w:ascii="Times New Roman" w:hAnsi="Times New Roman" w:cs="Times New Roman"/>
          <w:color w:val="000000"/>
          <w:sz w:val="20"/>
          <w:szCs w:val="20"/>
          <w:shd w:val="clear" w:color="auto" w:fill="FFFFFF"/>
        </w:rPr>
        <w:t xml:space="preserve">Con fecha 02 de abril, se aprobó el </w:t>
      </w:r>
      <w:r>
        <w:rPr>
          <w:rFonts w:ascii="Times New Roman" w:hAnsi="Times New Roman" w:cs="Times New Roman"/>
          <w:color w:val="000000"/>
          <w:sz w:val="20"/>
          <w:szCs w:val="20"/>
          <w:shd w:val="clear" w:color="auto" w:fill="FFFFFF"/>
        </w:rPr>
        <w:t>D</w:t>
      </w:r>
      <w:r w:rsidRPr="006E6E81">
        <w:rPr>
          <w:rFonts w:ascii="Times New Roman" w:hAnsi="Times New Roman" w:cs="Times New Roman"/>
          <w:color w:val="000000"/>
          <w:sz w:val="20"/>
          <w:szCs w:val="20"/>
          <w:shd w:val="clear" w:color="auto" w:fill="FFFFFF"/>
        </w:rPr>
        <w:t xml:space="preserve">ecreto </w:t>
      </w:r>
      <w:r>
        <w:rPr>
          <w:rFonts w:ascii="Times New Roman" w:hAnsi="Times New Roman" w:cs="Times New Roman"/>
          <w:color w:val="000000"/>
          <w:sz w:val="20"/>
          <w:szCs w:val="20"/>
          <w:shd w:val="clear" w:color="auto" w:fill="FFFFFF"/>
        </w:rPr>
        <w:t>S</w:t>
      </w:r>
      <w:r w:rsidRPr="006E6E81">
        <w:rPr>
          <w:rFonts w:ascii="Times New Roman" w:hAnsi="Times New Roman" w:cs="Times New Roman"/>
          <w:color w:val="000000"/>
          <w:sz w:val="20"/>
          <w:szCs w:val="20"/>
          <w:shd w:val="clear" w:color="auto" w:fill="FFFFFF"/>
        </w:rPr>
        <w:t>upremo</w:t>
      </w:r>
      <w:r w:rsidR="008A20B2" w:rsidRPr="00AD61BA">
        <w:rPr>
          <w:rStyle w:val="Refdenotaalfinal"/>
          <w:rFonts w:ascii="Times New Roman" w:eastAsia="Cambria" w:hAnsi="Times New Roman" w:cs="Times New Roman"/>
          <w:lang w:val="es-419"/>
        </w:rPr>
        <w:endnoteReference w:id="20"/>
      </w:r>
      <w:r w:rsidRPr="006E6E81">
        <w:rPr>
          <w:rFonts w:ascii="Times New Roman" w:hAnsi="Times New Roman" w:cs="Times New Roman"/>
          <w:color w:val="000000"/>
          <w:sz w:val="20"/>
          <w:szCs w:val="20"/>
          <w:shd w:val="clear" w:color="auto" w:fill="FFFFFF"/>
        </w:rPr>
        <w:t xml:space="preserve">que señalaba la “salida diferenciada por género” para la adquisición de víveres, productos farmacéuticos y trámites financieros, de tal manera, que los hombres tenían días de salida: el lunes, miércoles y viernes; y las mujeres: los martes, jueves y sábado. </w:t>
      </w:r>
    </w:p>
    <w:p w14:paraId="7AA7BBC5" w14:textId="77777777" w:rsidR="00C65F3F" w:rsidRPr="00005B30" w:rsidRDefault="00C65F3F" w:rsidP="00C65F3F">
      <w:pPr>
        <w:pStyle w:val="Prrafodelista"/>
        <w:spacing w:after="0" w:line="240" w:lineRule="auto"/>
        <w:rPr>
          <w:rFonts w:ascii="Times New Roman" w:hAnsi="Times New Roman" w:cs="Times New Roman"/>
          <w:bCs/>
          <w:sz w:val="20"/>
          <w:szCs w:val="20"/>
        </w:rPr>
      </w:pPr>
    </w:p>
    <w:p w14:paraId="0FDB8123" w14:textId="12108890" w:rsidR="00C65F3F" w:rsidRPr="00005B30" w:rsidRDefault="00BE2786" w:rsidP="00C65F3F">
      <w:pPr>
        <w:pStyle w:val="Prrafodelista"/>
        <w:numPr>
          <w:ilvl w:val="0"/>
          <w:numId w:val="1"/>
        </w:numPr>
        <w:tabs>
          <w:tab w:val="left" w:pos="142"/>
          <w:tab w:val="left" w:pos="426"/>
        </w:tabs>
        <w:spacing w:after="0" w:line="240" w:lineRule="auto"/>
        <w:ind w:left="0" w:firstLine="0"/>
        <w:jc w:val="both"/>
        <w:rPr>
          <w:rFonts w:ascii="Times New Roman" w:hAnsi="Times New Roman" w:cs="Times New Roman"/>
          <w:bCs/>
          <w:sz w:val="20"/>
          <w:szCs w:val="20"/>
        </w:rPr>
      </w:pPr>
      <w:r>
        <w:rPr>
          <w:rFonts w:ascii="Times New Roman" w:hAnsi="Times New Roman" w:cs="Times New Roman"/>
          <w:color w:val="000000"/>
          <w:sz w:val="20"/>
          <w:szCs w:val="20"/>
          <w:shd w:val="clear" w:color="auto" w:fill="FFFFFF"/>
        </w:rPr>
        <w:lastRenderedPageBreak/>
        <w:t xml:space="preserve">Esta medida </w:t>
      </w:r>
      <w:r w:rsidR="00C65F3F" w:rsidRPr="00005B30">
        <w:rPr>
          <w:rFonts w:ascii="Times New Roman" w:hAnsi="Times New Roman" w:cs="Times New Roman"/>
          <w:color w:val="000000"/>
          <w:sz w:val="20"/>
          <w:szCs w:val="20"/>
          <w:shd w:val="clear" w:color="auto" w:fill="FFFFFF"/>
        </w:rPr>
        <w:t>agravó situaciones de discriminación y violencia contra la</w:t>
      </w:r>
      <w:r w:rsidR="006E1F5C">
        <w:rPr>
          <w:rFonts w:ascii="Times New Roman" w:hAnsi="Times New Roman" w:cs="Times New Roman"/>
          <w:color w:val="000000"/>
          <w:sz w:val="20"/>
          <w:szCs w:val="20"/>
          <w:shd w:val="clear" w:color="auto" w:fill="FFFFFF"/>
        </w:rPr>
        <w:t xml:space="preserve">s mujeres </w:t>
      </w:r>
      <w:r w:rsidR="00C65F3F" w:rsidRPr="00005B30">
        <w:rPr>
          <w:rFonts w:ascii="Times New Roman" w:hAnsi="Times New Roman" w:cs="Times New Roman"/>
          <w:color w:val="000000"/>
          <w:sz w:val="20"/>
          <w:szCs w:val="20"/>
          <w:shd w:val="clear" w:color="auto" w:fill="FFFFFF"/>
        </w:rPr>
        <w:t>trans, debido a que fueron intervenidas y detenidas por oficiales de la PNP por salir el día que no corresponde al género señalado en su documento de identidad</w:t>
      </w:r>
      <w:r w:rsidR="00DF7065">
        <w:rPr>
          <w:rFonts w:ascii="Times New Roman" w:hAnsi="Times New Roman" w:cs="Times New Roman"/>
          <w:color w:val="000000"/>
          <w:sz w:val="20"/>
          <w:szCs w:val="20"/>
          <w:shd w:val="clear" w:color="auto" w:fill="FFFFFF"/>
        </w:rPr>
        <w:t xml:space="preserve">, siendo </w:t>
      </w:r>
      <w:r w:rsidR="00C65F3F" w:rsidRPr="00005B30">
        <w:rPr>
          <w:rFonts w:ascii="Times New Roman" w:hAnsi="Times New Roman" w:cs="Times New Roman"/>
          <w:color w:val="000000"/>
          <w:sz w:val="20"/>
          <w:szCs w:val="20"/>
          <w:shd w:val="clear" w:color="auto" w:fill="FFFFFF"/>
        </w:rPr>
        <w:t xml:space="preserve">víctimas de tratos humillantes, burlas, insultos, sanciones e incluso impedimentos de entrada a supermercados. </w:t>
      </w:r>
    </w:p>
    <w:p w14:paraId="72F5C5E6" w14:textId="77777777" w:rsidR="00C65F3F" w:rsidRPr="00005B30" w:rsidRDefault="00C65F3F" w:rsidP="00C65F3F">
      <w:pPr>
        <w:pStyle w:val="Prrafodelista"/>
        <w:spacing w:after="0" w:line="240" w:lineRule="auto"/>
        <w:rPr>
          <w:rFonts w:ascii="Times New Roman" w:hAnsi="Times New Roman" w:cs="Times New Roman"/>
          <w:bCs/>
          <w:sz w:val="20"/>
          <w:szCs w:val="20"/>
        </w:rPr>
      </w:pPr>
    </w:p>
    <w:p w14:paraId="333F1D0E" w14:textId="3D23B60C" w:rsidR="00C65F3F" w:rsidRPr="00BE2786" w:rsidRDefault="00C65F3F" w:rsidP="00C65F3F">
      <w:pPr>
        <w:pStyle w:val="Prrafodelista"/>
        <w:numPr>
          <w:ilvl w:val="0"/>
          <w:numId w:val="1"/>
        </w:numPr>
        <w:tabs>
          <w:tab w:val="left" w:pos="142"/>
          <w:tab w:val="left" w:pos="426"/>
        </w:tabs>
        <w:spacing w:after="0" w:line="240" w:lineRule="auto"/>
        <w:ind w:left="0" w:firstLine="0"/>
        <w:jc w:val="both"/>
        <w:rPr>
          <w:rFonts w:ascii="Times New Roman" w:hAnsi="Times New Roman" w:cs="Times New Roman"/>
          <w:bCs/>
          <w:sz w:val="20"/>
          <w:szCs w:val="20"/>
        </w:rPr>
      </w:pPr>
      <w:r w:rsidRPr="00BE2786">
        <w:rPr>
          <w:rFonts w:ascii="Times New Roman" w:hAnsi="Times New Roman" w:cs="Times New Roman"/>
          <w:color w:val="000000"/>
          <w:sz w:val="20"/>
          <w:szCs w:val="20"/>
          <w:shd w:val="clear" w:color="auto" w:fill="FFFFFF"/>
        </w:rPr>
        <w:t>Mientras esta medida de salida diferenciada por género</w:t>
      </w:r>
      <w:r w:rsidR="008A20B2" w:rsidRPr="00AD61BA">
        <w:rPr>
          <w:rStyle w:val="Refdenotaalfinal"/>
          <w:rFonts w:ascii="Times New Roman" w:eastAsia="Cambria" w:hAnsi="Times New Roman" w:cs="Times New Roman"/>
          <w:lang w:val="es-419"/>
        </w:rPr>
        <w:endnoteReference w:id="21"/>
      </w:r>
      <w:r w:rsidRPr="00BE2786">
        <w:rPr>
          <w:rFonts w:ascii="Times New Roman" w:hAnsi="Times New Roman" w:cs="Times New Roman"/>
          <w:color w:val="000000"/>
          <w:sz w:val="20"/>
          <w:szCs w:val="20"/>
          <w:shd w:val="clear" w:color="auto" w:fill="FFFFFF"/>
        </w:rPr>
        <w:t xml:space="preserve"> se encontraba vigente, se reportaron 10 casos a nivel nacional. Uno de ellos ocurrido el 04 de abril en Bellavista-Callao, tres mujeres trans denunciaron haber recibido un trato humillante por parte de efectivos policiales de la Comisaría Bellavista, quienes haciendo abuso de su poder las obligaron a saltar como ranas y gritar “quiero ser un hombre”</w:t>
      </w:r>
      <w:r w:rsidR="008A20B2" w:rsidRPr="008A20B2">
        <w:rPr>
          <w:rFonts w:ascii="Times New Roman" w:eastAsia="Cambria" w:hAnsi="Times New Roman" w:cs="Times New Roman"/>
          <w:vertAlign w:val="superscript"/>
        </w:rPr>
        <w:t xml:space="preserve"> </w:t>
      </w:r>
      <w:r w:rsidR="008A20B2" w:rsidRPr="00920238">
        <w:rPr>
          <w:rFonts w:ascii="Times New Roman" w:eastAsia="Cambria" w:hAnsi="Times New Roman" w:cs="Times New Roman"/>
          <w:vertAlign w:val="superscript"/>
        </w:rPr>
        <w:endnoteReference w:id="22"/>
      </w:r>
      <w:r w:rsidRPr="00BE2786">
        <w:rPr>
          <w:rFonts w:ascii="Times New Roman" w:hAnsi="Times New Roman" w:cs="Times New Roman"/>
          <w:color w:val="000000"/>
          <w:sz w:val="20"/>
          <w:szCs w:val="20"/>
          <w:shd w:val="clear" w:color="auto" w:fill="FFFFFF"/>
        </w:rPr>
        <w:t xml:space="preserve">. </w:t>
      </w:r>
    </w:p>
    <w:p w14:paraId="245053AB" w14:textId="77777777" w:rsidR="00BE2786" w:rsidRPr="00BE2786" w:rsidRDefault="00BE2786" w:rsidP="00BE2786">
      <w:pPr>
        <w:pStyle w:val="Prrafodelista"/>
        <w:rPr>
          <w:rFonts w:ascii="Times New Roman" w:hAnsi="Times New Roman" w:cs="Times New Roman"/>
          <w:bCs/>
          <w:sz w:val="20"/>
          <w:szCs w:val="20"/>
        </w:rPr>
      </w:pPr>
    </w:p>
    <w:p w14:paraId="49BF0EC6" w14:textId="77777777" w:rsidR="00C65F3F" w:rsidRDefault="00C65F3F" w:rsidP="00C65F3F">
      <w:pPr>
        <w:pStyle w:val="Prrafodelista"/>
        <w:tabs>
          <w:tab w:val="left" w:pos="142"/>
          <w:tab w:val="left" w:pos="426"/>
        </w:tabs>
        <w:spacing w:after="0" w:line="240" w:lineRule="auto"/>
        <w:ind w:left="0"/>
        <w:jc w:val="both"/>
        <w:rPr>
          <w:rFonts w:ascii="Times New Roman" w:hAnsi="Times New Roman" w:cs="Times New Roman"/>
          <w:bCs/>
          <w:i/>
          <w:iCs/>
          <w:sz w:val="20"/>
          <w:szCs w:val="20"/>
        </w:rPr>
      </w:pPr>
      <w:r w:rsidRPr="009B013B">
        <w:rPr>
          <w:rFonts w:ascii="Times New Roman" w:hAnsi="Times New Roman" w:cs="Times New Roman"/>
          <w:bCs/>
          <w:i/>
          <w:iCs/>
          <w:sz w:val="20"/>
          <w:szCs w:val="20"/>
        </w:rPr>
        <w:t xml:space="preserve">Obligaciones del Estado </w:t>
      </w:r>
    </w:p>
    <w:p w14:paraId="41A69B9E" w14:textId="77777777" w:rsidR="00C65F3F" w:rsidRPr="009B013B" w:rsidRDefault="00C65F3F" w:rsidP="00C65F3F">
      <w:pPr>
        <w:pStyle w:val="Prrafodelista"/>
        <w:tabs>
          <w:tab w:val="left" w:pos="142"/>
          <w:tab w:val="left" w:pos="426"/>
        </w:tabs>
        <w:spacing w:after="0" w:line="240" w:lineRule="auto"/>
        <w:ind w:left="0"/>
        <w:jc w:val="both"/>
        <w:rPr>
          <w:rFonts w:ascii="Times New Roman" w:hAnsi="Times New Roman" w:cs="Times New Roman"/>
          <w:bCs/>
          <w:i/>
          <w:iCs/>
          <w:sz w:val="20"/>
          <w:szCs w:val="20"/>
        </w:rPr>
      </w:pPr>
    </w:p>
    <w:p w14:paraId="2FACE680" w14:textId="18566976" w:rsidR="00C65F3F" w:rsidRDefault="00BE2786" w:rsidP="00C65F3F">
      <w:pPr>
        <w:pStyle w:val="Prrafodelista"/>
        <w:numPr>
          <w:ilvl w:val="0"/>
          <w:numId w:val="1"/>
        </w:numPr>
        <w:tabs>
          <w:tab w:val="left" w:pos="142"/>
          <w:tab w:val="left" w:pos="426"/>
        </w:tabs>
        <w:spacing w:after="0" w:line="240" w:lineRule="auto"/>
        <w:ind w:left="0" w:firstLine="0"/>
        <w:jc w:val="both"/>
        <w:rPr>
          <w:rFonts w:ascii="Times New Roman" w:hAnsi="Times New Roman" w:cs="Times New Roman"/>
          <w:bCs/>
          <w:sz w:val="20"/>
          <w:szCs w:val="20"/>
        </w:rPr>
      </w:pPr>
      <w:r>
        <w:rPr>
          <w:rFonts w:ascii="Times New Roman" w:hAnsi="Times New Roman" w:cs="Times New Roman"/>
          <w:bCs/>
          <w:sz w:val="20"/>
          <w:szCs w:val="20"/>
        </w:rPr>
        <w:t>Frente a estos hechos</w:t>
      </w:r>
      <w:r w:rsidR="00D22AEE">
        <w:rPr>
          <w:rFonts w:ascii="Times New Roman" w:hAnsi="Times New Roman" w:cs="Times New Roman"/>
          <w:bCs/>
          <w:sz w:val="20"/>
          <w:szCs w:val="20"/>
        </w:rPr>
        <w:t xml:space="preserve">, este Comité ha recomendado al </w:t>
      </w:r>
      <w:r w:rsidR="00C65F3F" w:rsidRPr="00005B30">
        <w:rPr>
          <w:rFonts w:ascii="Times New Roman" w:hAnsi="Times New Roman" w:cs="Times New Roman"/>
          <w:bCs/>
          <w:sz w:val="20"/>
          <w:szCs w:val="20"/>
        </w:rPr>
        <w:t xml:space="preserve">Estado </w:t>
      </w:r>
      <w:r w:rsidR="00D22AEE" w:rsidRPr="00005B30">
        <w:rPr>
          <w:rFonts w:ascii="Times New Roman" w:hAnsi="Times New Roman" w:cs="Times New Roman"/>
          <w:bCs/>
          <w:sz w:val="20"/>
          <w:szCs w:val="20"/>
        </w:rPr>
        <w:t>peruano</w:t>
      </w:r>
      <w:r w:rsidR="00D22AEE" w:rsidRPr="009B013B">
        <w:rPr>
          <w:rFonts w:ascii="Times New Roman" w:hAnsi="Times New Roman" w:cs="Times New Roman"/>
          <w:bCs/>
          <w:i/>
          <w:iCs/>
          <w:sz w:val="20"/>
          <w:szCs w:val="20"/>
        </w:rPr>
        <w:t xml:space="preserve"> “elaborar</w:t>
      </w:r>
      <w:r w:rsidR="00C65F3F" w:rsidRPr="009B013B">
        <w:rPr>
          <w:rFonts w:ascii="Times New Roman" w:hAnsi="Times New Roman" w:cs="Times New Roman"/>
          <w:bCs/>
          <w:i/>
          <w:iCs/>
          <w:sz w:val="20"/>
          <w:szCs w:val="20"/>
        </w:rPr>
        <w:t xml:space="preserve"> programas de concienciación y campañas de educación para eliminar la discriminación contra la mujer, inclusive por orientación o identidad de género”</w:t>
      </w:r>
      <w:r w:rsidR="008A20B2" w:rsidRPr="00AD61BA">
        <w:rPr>
          <w:rStyle w:val="Refdenotaalfinal"/>
          <w:rFonts w:ascii="Times New Roman" w:eastAsia="Cambria" w:hAnsi="Times New Roman" w:cs="Times New Roman"/>
          <w:sz w:val="20"/>
          <w:szCs w:val="20"/>
          <w:lang w:val="es-419"/>
        </w:rPr>
        <w:endnoteReference w:id="23"/>
      </w:r>
      <w:r w:rsidR="00C65F3F">
        <w:rPr>
          <w:rFonts w:ascii="Times New Roman" w:hAnsi="Times New Roman" w:cs="Times New Roman"/>
          <w:bCs/>
          <w:sz w:val="20"/>
          <w:szCs w:val="20"/>
        </w:rPr>
        <w:t xml:space="preserve">. Pese a ello </w:t>
      </w:r>
      <w:r w:rsidR="00C65F3F" w:rsidRPr="00005B30">
        <w:rPr>
          <w:rFonts w:ascii="Times New Roman" w:hAnsi="Times New Roman" w:cs="Times New Roman"/>
          <w:bCs/>
          <w:sz w:val="20"/>
          <w:szCs w:val="20"/>
        </w:rPr>
        <w:t xml:space="preserve">el Estado peruano se ha </w:t>
      </w:r>
      <w:r w:rsidR="00C65F3F">
        <w:rPr>
          <w:rFonts w:ascii="Times New Roman" w:hAnsi="Times New Roman" w:cs="Times New Roman"/>
          <w:bCs/>
          <w:sz w:val="20"/>
          <w:szCs w:val="20"/>
        </w:rPr>
        <w:t>limitado a pronunciarse en</w:t>
      </w:r>
      <w:r w:rsidR="00C65F3F" w:rsidRPr="00005B30">
        <w:rPr>
          <w:rFonts w:ascii="Times New Roman" w:hAnsi="Times New Roman" w:cs="Times New Roman"/>
          <w:bCs/>
          <w:sz w:val="20"/>
          <w:szCs w:val="20"/>
        </w:rPr>
        <w:t xml:space="preserve"> fechas emblemáticas asociadas a la lucha contra la violencia de las personas LGBT, </w:t>
      </w:r>
      <w:r>
        <w:rPr>
          <w:rFonts w:ascii="Times New Roman" w:hAnsi="Times New Roman" w:cs="Times New Roman"/>
          <w:bCs/>
          <w:sz w:val="20"/>
          <w:szCs w:val="20"/>
        </w:rPr>
        <w:t xml:space="preserve">pero no </w:t>
      </w:r>
      <w:r w:rsidR="00D22AEE">
        <w:rPr>
          <w:rFonts w:ascii="Times New Roman" w:hAnsi="Times New Roman" w:cs="Times New Roman"/>
          <w:bCs/>
          <w:sz w:val="20"/>
          <w:szCs w:val="20"/>
        </w:rPr>
        <w:t>a</w:t>
      </w:r>
      <w:r>
        <w:rPr>
          <w:rFonts w:ascii="Times New Roman" w:hAnsi="Times New Roman" w:cs="Times New Roman"/>
          <w:bCs/>
          <w:sz w:val="20"/>
          <w:szCs w:val="20"/>
        </w:rPr>
        <w:t xml:space="preserve"> realizar </w:t>
      </w:r>
      <w:r w:rsidR="00C65F3F">
        <w:rPr>
          <w:rFonts w:ascii="Times New Roman" w:hAnsi="Times New Roman" w:cs="Times New Roman"/>
          <w:bCs/>
          <w:sz w:val="20"/>
          <w:szCs w:val="20"/>
        </w:rPr>
        <w:t xml:space="preserve">campañas </w:t>
      </w:r>
      <w:r w:rsidR="00C65F3F" w:rsidRPr="00005B30">
        <w:rPr>
          <w:rFonts w:ascii="Times New Roman" w:hAnsi="Times New Roman" w:cs="Times New Roman"/>
          <w:bCs/>
          <w:sz w:val="20"/>
          <w:szCs w:val="20"/>
        </w:rPr>
        <w:t xml:space="preserve">educativas </w:t>
      </w:r>
      <w:r w:rsidR="00D22AEE">
        <w:rPr>
          <w:rFonts w:ascii="Times New Roman" w:hAnsi="Times New Roman" w:cs="Times New Roman"/>
          <w:bCs/>
          <w:sz w:val="20"/>
          <w:szCs w:val="20"/>
        </w:rPr>
        <w:t xml:space="preserve">sostenidas en el tiempo y como parte de una política nacional. </w:t>
      </w:r>
    </w:p>
    <w:p w14:paraId="171377C5" w14:textId="77777777" w:rsidR="00C65F3F" w:rsidRPr="009B013B" w:rsidRDefault="00C65F3F" w:rsidP="00C65F3F">
      <w:pPr>
        <w:pStyle w:val="Prrafodelista"/>
        <w:rPr>
          <w:rFonts w:ascii="Times New Roman" w:hAnsi="Times New Roman" w:cs="Times New Roman"/>
          <w:bCs/>
          <w:sz w:val="20"/>
          <w:szCs w:val="20"/>
        </w:rPr>
      </w:pPr>
    </w:p>
    <w:p w14:paraId="60E68E0A" w14:textId="4D2F41CF" w:rsidR="00C65F3F" w:rsidRPr="008A20B2" w:rsidRDefault="00C65F3F" w:rsidP="00C65F3F">
      <w:pPr>
        <w:pStyle w:val="Prrafodelista"/>
        <w:numPr>
          <w:ilvl w:val="0"/>
          <w:numId w:val="1"/>
        </w:numPr>
        <w:tabs>
          <w:tab w:val="left" w:pos="142"/>
          <w:tab w:val="left" w:pos="426"/>
        </w:tabs>
        <w:spacing w:after="0" w:line="240" w:lineRule="auto"/>
        <w:ind w:left="0" w:firstLine="0"/>
        <w:jc w:val="both"/>
        <w:rPr>
          <w:rStyle w:val="hps"/>
          <w:rFonts w:ascii="Times New Roman" w:hAnsi="Times New Roman" w:cs="Times New Roman"/>
          <w:bCs/>
          <w:sz w:val="20"/>
          <w:szCs w:val="20"/>
        </w:rPr>
      </w:pPr>
      <w:r>
        <w:rPr>
          <w:rFonts w:ascii="Times New Roman" w:hAnsi="Times New Roman" w:cs="Times New Roman"/>
          <w:bCs/>
          <w:sz w:val="20"/>
          <w:szCs w:val="20"/>
        </w:rPr>
        <w:t>Respecto al acceso a la justicia de las personas LGBT, e</w:t>
      </w:r>
      <w:r w:rsidRPr="00005B30">
        <w:rPr>
          <w:rFonts w:ascii="Times New Roman" w:hAnsi="Times New Roman" w:cs="Times New Roman"/>
          <w:bCs/>
          <w:sz w:val="20"/>
          <w:szCs w:val="20"/>
        </w:rPr>
        <w:t>l Comité contra la Tortura recomienda que “</w:t>
      </w:r>
      <w:r w:rsidRPr="00005B30">
        <w:rPr>
          <w:rFonts w:ascii="Times New Roman" w:hAnsi="Times New Roman" w:cs="Times New Roman"/>
          <w:sz w:val="20"/>
          <w:szCs w:val="20"/>
        </w:rPr>
        <w:t>todos los casos de violencia sean, sin demora y de manera efectiva e imparcial, objeto de investigación, enjuiciamiento y sanciones y para que las víctimas obtengan reparación”</w:t>
      </w:r>
      <w:r w:rsidR="008A20B2" w:rsidRPr="008A20B2">
        <w:rPr>
          <w:rFonts w:ascii="Times New Roman" w:eastAsia="Cambria" w:hAnsi="Times New Roman" w:cs="Times New Roman"/>
          <w:sz w:val="20"/>
          <w:szCs w:val="20"/>
          <w:lang w:val="es-419"/>
        </w:rPr>
        <w:t xml:space="preserve"> </w:t>
      </w:r>
      <w:r w:rsidR="008A20B2" w:rsidRPr="00AD61BA">
        <w:rPr>
          <w:rStyle w:val="Refdenotaalfinal"/>
          <w:rFonts w:ascii="Times New Roman" w:eastAsia="Cambria" w:hAnsi="Times New Roman" w:cs="Times New Roman"/>
          <w:sz w:val="20"/>
          <w:szCs w:val="20"/>
          <w:lang w:val="es-419"/>
        </w:rPr>
        <w:endnoteReference w:id="24"/>
      </w:r>
      <w:r w:rsidRPr="00005B30">
        <w:rPr>
          <w:rFonts w:ascii="Times New Roman" w:hAnsi="Times New Roman" w:cs="Times New Roman"/>
          <w:sz w:val="20"/>
          <w:szCs w:val="20"/>
        </w:rPr>
        <w:t xml:space="preserve">; en el mismo sentido el Comité de los Derechos humanos señala que es necesario </w:t>
      </w:r>
      <w:r w:rsidRPr="00005B30">
        <w:rPr>
          <w:rStyle w:val="hps"/>
          <w:rFonts w:ascii="Times New Roman" w:hAnsi="Times New Roman" w:cs="Times New Roman"/>
          <w:sz w:val="20"/>
          <w:szCs w:val="20"/>
          <w:lang w:val="es-ES"/>
        </w:rPr>
        <w:t>garantizar la investigación</w:t>
      </w:r>
      <w:r w:rsidRPr="00005B30">
        <w:rPr>
          <w:rFonts w:ascii="Times New Roman" w:hAnsi="Times New Roman" w:cs="Times New Roman"/>
          <w:sz w:val="20"/>
          <w:szCs w:val="20"/>
          <w:lang w:val="es-ES"/>
        </w:rPr>
        <w:t xml:space="preserve">, el enjuiciamiento y </w:t>
      </w:r>
      <w:r w:rsidRPr="00005B30">
        <w:rPr>
          <w:rStyle w:val="hps"/>
          <w:rFonts w:ascii="Times New Roman" w:hAnsi="Times New Roman" w:cs="Times New Roman"/>
          <w:sz w:val="20"/>
          <w:szCs w:val="20"/>
          <w:lang w:val="es-ES"/>
        </w:rPr>
        <w:t>castigo de los</w:t>
      </w:r>
      <w:r w:rsidRPr="00005B30">
        <w:rPr>
          <w:rFonts w:ascii="Times New Roman" w:hAnsi="Times New Roman" w:cs="Times New Roman"/>
          <w:sz w:val="20"/>
          <w:szCs w:val="20"/>
          <w:lang w:val="es-ES"/>
        </w:rPr>
        <w:t xml:space="preserve"> </w:t>
      </w:r>
      <w:r w:rsidRPr="00005B30">
        <w:rPr>
          <w:rStyle w:val="hps"/>
          <w:rFonts w:ascii="Times New Roman" w:hAnsi="Times New Roman" w:cs="Times New Roman"/>
          <w:sz w:val="20"/>
          <w:szCs w:val="20"/>
          <w:lang w:val="es-ES"/>
        </w:rPr>
        <w:t>actos</w:t>
      </w:r>
      <w:r w:rsidRPr="00005B30">
        <w:rPr>
          <w:rFonts w:ascii="Times New Roman" w:hAnsi="Times New Roman" w:cs="Times New Roman"/>
          <w:sz w:val="20"/>
          <w:szCs w:val="20"/>
          <w:lang w:val="es-ES"/>
        </w:rPr>
        <w:t xml:space="preserve"> </w:t>
      </w:r>
      <w:r w:rsidRPr="00005B30">
        <w:rPr>
          <w:rStyle w:val="hps"/>
          <w:rFonts w:ascii="Times New Roman" w:hAnsi="Times New Roman" w:cs="Times New Roman"/>
          <w:sz w:val="20"/>
          <w:szCs w:val="20"/>
          <w:lang w:val="es-ES"/>
        </w:rPr>
        <w:t>de</w:t>
      </w:r>
      <w:r w:rsidRPr="00005B30">
        <w:rPr>
          <w:rFonts w:ascii="Times New Roman" w:hAnsi="Times New Roman" w:cs="Times New Roman"/>
          <w:sz w:val="20"/>
          <w:szCs w:val="20"/>
          <w:lang w:val="es-ES"/>
        </w:rPr>
        <w:t xml:space="preserve"> </w:t>
      </w:r>
      <w:r w:rsidRPr="00005B30">
        <w:rPr>
          <w:rStyle w:val="hps"/>
          <w:rFonts w:ascii="Times New Roman" w:hAnsi="Times New Roman" w:cs="Times New Roman"/>
          <w:sz w:val="20"/>
          <w:szCs w:val="20"/>
          <w:lang w:val="es-ES"/>
        </w:rPr>
        <w:t>violencia motivados</w:t>
      </w:r>
      <w:r w:rsidRPr="00005B30">
        <w:rPr>
          <w:rFonts w:ascii="Times New Roman" w:hAnsi="Times New Roman" w:cs="Times New Roman"/>
          <w:sz w:val="20"/>
          <w:szCs w:val="20"/>
          <w:lang w:val="es-ES"/>
        </w:rPr>
        <w:t xml:space="preserve"> </w:t>
      </w:r>
      <w:r w:rsidRPr="00005B30">
        <w:rPr>
          <w:rStyle w:val="hps"/>
          <w:rFonts w:ascii="Times New Roman" w:hAnsi="Times New Roman" w:cs="Times New Roman"/>
          <w:sz w:val="20"/>
          <w:szCs w:val="20"/>
          <w:lang w:val="es-ES"/>
        </w:rPr>
        <w:t>por la orientación</w:t>
      </w:r>
      <w:r w:rsidRPr="00005B30">
        <w:rPr>
          <w:rFonts w:ascii="Times New Roman" w:hAnsi="Times New Roman" w:cs="Times New Roman"/>
          <w:sz w:val="20"/>
          <w:szCs w:val="20"/>
          <w:lang w:val="es-ES"/>
        </w:rPr>
        <w:t xml:space="preserve"> </w:t>
      </w:r>
      <w:r w:rsidRPr="00005B30">
        <w:rPr>
          <w:rStyle w:val="hps"/>
          <w:rFonts w:ascii="Times New Roman" w:hAnsi="Times New Roman" w:cs="Times New Roman"/>
          <w:sz w:val="20"/>
          <w:szCs w:val="20"/>
          <w:lang w:val="es-ES"/>
        </w:rPr>
        <w:t>sexual</w:t>
      </w:r>
      <w:r w:rsidRPr="00005B30">
        <w:rPr>
          <w:rFonts w:ascii="Times New Roman" w:hAnsi="Times New Roman" w:cs="Times New Roman"/>
          <w:sz w:val="20"/>
          <w:szCs w:val="20"/>
          <w:lang w:val="es-ES"/>
        </w:rPr>
        <w:t xml:space="preserve"> </w:t>
      </w:r>
      <w:r w:rsidRPr="00005B30">
        <w:rPr>
          <w:rStyle w:val="hps"/>
          <w:rFonts w:ascii="Times New Roman" w:hAnsi="Times New Roman" w:cs="Times New Roman"/>
          <w:sz w:val="20"/>
          <w:szCs w:val="20"/>
          <w:lang w:val="es-ES"/>
        </w:rPr>
        <w:t>de la víctima</w:t>
      </w:r>
      <w:r w:rsidRPr="00005B30">
        <w:rPr>
          <w:rFonts w:ascii="Times New Roman" w:hAnsi="Times New Roman" w:cs="Times New Roman"/>
          <w:sz w:val="20"/>
          <w:szCs w:val="20"/>
          <w:lang w:val="es-ES"/>
        </w:rPr>
        <w:t xml:space="preserve"> </w:t>
      </w:r>
      <w:r w:rsidRPr="00005B30">
        <w:rPr>
          <w:rStyle w:val="hps"/>
          <w:rFonts w:ascii="Times New Roman" w:hAnsi="Times New Roman" w:cs="Times New Roman"/>
          <w:sz w:val="20"/>
          <w:szCs w:val="20"/>
          <w:lang w:val="es-ES"/>
        </w:rPr>
        <w:t>o su identidad</w:t>
      </w:r>
      <w:r w:rsidRPr="00005B30">
        <w:rPr>
          <w:rFonts w:ascii="Times New Roman" w:hAnsi="Times New Roman" w:cs="Times New Roman"/>
          <w:sz w:val="20"/>
          <w:szCs w:val="20"/>
          <w:lang w:val="es-ES"/>
        </w:rPr>
        <w:t xml:space="preserve"> </w:t>
      </w:r>
      <w:r w:rsidRPr="00005B30">
        <w:rPr>
          <w:rStyle w:val="hps"/>
          <w:rFonts w:ascii="Times New Roman" w:hAnsi="Times New Roman" w:cs="Times New Roman"/>
          <w:sz w:val="20"/>
          <w:szCs w:val="20"/>
          <w:lang w:val="es-ES"/>
        </w:rPr>
        <w:t>de género.</w:t>
      </w:r>
    </w:p>
    <w:p w14:paraId="7C5718F6" w14:textId="77777777" w:rsidR="008A20B2" w:rsidRPr="008A20B2" w:rsidRDefault="008A20B2" w:rsidP="008A20B2">
      <w:pPr>
        <w:pStyle w:val="Prrafodelista"/>
        <w:rPr>
          <w:rFonts w:ascii="Times New Roman" w:hAnsi="Times New Roman" w:cs="Times New Roman"/>
          <w:bCs/>
          <w:sz w:val="20"/>
          <w:szCs w:val="20"/>
        </w:rPr>
      </w:pPr>
    </w:p>
    <w:p w14:paraId="719ADA8C" w14:textId="4F80EEBE" w:rsidR="00516944" w:rsidRPr="00516944" w:rsidRDefault="001A146F" w:rsidP="00516944">
      <w:pPr>
        <w:pStyle w:val="Prrafodelista"/>
        <w:numPr>
          <w:ilvl w:val="0"/>
          <w:numId w:val="2"/>
        </w:numPr>
        <w:spacing w:after="0" w:line="240" w:lineRule="auto"/>
        <w:ind w:left="284" w:hanging="284"/>
        <w:jc w:val="both"/>
        <w:rPr>
          <w:sz w:val="20"/>
          <w:szCs w:val="20"/>
        </w:rPr>
      </w:pPr>
      <w:r w:rsidRPr="00516944">
        <w:rPr>
          <w:rFonts w:ascii="Times New Roman" w:hAnsi="Times New Roman" w:cs="Times New Roman"/>
          <w:b/>
          <w:sz w:val="20"/>
          <w:szCs w:val="20"/>
        </w:rPr>
        <w:t>Violencia en el ámbito familiar por orientación sexual e identidad de género y la falta de medidas para atender los casos de personas LGTBI frente a estos casos</w:t>
      </w:r>
    </w:p>
    <w:p w14:paraId="3292E759" w14:textId="5B6E351F" w:rsidR="00516944" w:rsidRPr="00516944" w:rsidRDefault="00516944" w:rsidP="00516944">
      <w:pPr>
        <w:spacing w:after="0" w:line="240" w:lineRule="auto"/>
        <w:jc w:val="both"/>
        <w:rPr>
          <w:sz w:val="20"/>
          <w:szCs w:val="20"/>
        </w:rPr>
      </w:pPr>
    </w:p>
    <w:p w14:paraId="3EBA0B68" w14:textId="670A1625" w:rsidR="00516944" w:rsidRPr="00516944" w:rsidRDefault="00516944" w:rsidP="00516944">
      <w:pPr>
        <w:pStyle w:val="Prrafodelista"/>
        <w:numPr>
          <w:ilvl w:val="0"/>
          <w:numId w:val="1"/>
        </w:numPr>
        <w:tabs>
          <w:tab w:val="left" w:pos="142"/>
          <w:tab w:val="left" w:pos="426"/>
        </w:tabs>
        <w:spacing w:after="0" w:line="240" w:lineRule="auto"/>
        <w:ind w:left="0" w:firstLine="0"/>
        <w:jc w:val="both"/>
        <w:rPr>
          <w:rFonts w:ascii="Times New Roman" w:hAnsi="Times New Roman" w:cs="Times New Roman"/>
          <w:sz w:val="20"/>
          <w:szCs w:val="20"/>
        </w:rPr>
      </w:pPr>
      <w:r w:rsidRPr="00516944">
        <w:rPr>
          <w:rFonts w:ascii="Times New Roman" w:hAnsi="Times New Roman" w:cs="Times New Roman"/>
          <w:sz w:val="20"/>
          <w:szCs w:val="20"/>
        </w:rPr>
        <w:t xml:space="preserve">En el 2017, el Instituto de Nacional de Estadística e Informática realizó la primera encuesta virtual para personas LGBT. </w:t>
      </w:r>
      <w:r w:rsidRPr="00516944">
        <w:rPr>
          <w:rFonts w:ascii="Times New Roman" w:hAnsi="Times New Roman" w:cs="Times New Roman"/>
          <w:sz w:val="20"/>
          <w:szCs w:val="20"/>
          <w:shd w:val="clear" w:color="auto" w:fill="FFFFFF"/>
        </w:rPr>
        <w:t>El 39,2% dice que al conocer su orientación/identidad sexual, no le respetaron, aceptaron o integraron dentro de la familia.</w:t>
      </w:r>
      <w:r w:rsidR="008A20B2" w:rsidRPr="00AD61BA">
        <w:rPr>
          <w:rStyle w:val="Refdenotaalfinal"/>
          <w:rFonts w:ascii="Times New Roman" w:eastAsia="Cambria" w:hAnsi="Times New Roman" w:cs="Times New Roman"/>
          <w:lang w:val="es-419"/>
        </w:rPr>
        <w:endnoteReference w:id="25"/>
      </w:r>
    </w:p>
    <w:p w14:paraId="02546256" w14:textId="77777777" w:rsidR="00516944" w:rsidRPr="00516944" w:rsidRDefault="00516944" w:rsidP="00516944">
      <w:pPr>
        <w:pStyle w:val="Prrafodelista"/>
        <w:spacing w:after="0" w:line="240" w:lineRule="auto"/>
        <w:rPr>
          <w:rFonts w:ascii="Times New Roman" w:hAnsi="Times New Roman" w:cs="Times New Roman"/>
          <w:sz w:val="20"/>
          <w:szCs w:val="20"/>
        </w:rPr>
      </w:pPr>
    </w:p>
    <w:p w14:paraId="336EB10A" w14:textId="164AD2AD" w:rsidR="00310971" w:rsidRPr="00310971" w:rsidRDefault="00516944" w:rsidP="00310971">
      <w:pPr>
        <w:pStyle w:val="Textoindependiente"/>
        <w:numPr>
          <w:ilvl w:val="0"/>
          <w:numId w:val="1"/>
        </w:numPr>
        <w:tabs>
          <w:tab w:val="left" w:pos="284"/>
        </w:tabs>
        <w:ind w:left="0" w:right="114" w:firstLine="0"/>
        <w:contextualSpacing/>
        <w:jc w:val="both"/>
        <w:rPr>
          <w:bCs/>
          <w:sz w:val="20"/>
          <w:szCs w:val="20"/>
          <w:lang w:val="es-PE"/>
        </w:rPr>
      </w:pPr>
      <w:r w:rsidRPr="00310971">
        <w:rPr>
          <w:sz w:val="20"/>
          <w:szCs w:val="20"/>
        </w:rPr>
        <w:t>E</w:t>
      </w:r>
      <w:r w:rsidR="00AF6DF6">
        <w:rPr>
          <w:sz w:val="20"/>
          <w:szCs w:val="20"/>
        </w:rPr>
        <w:t>n el</w:t>
      </w:r>
      <w:r w:rsidRPr="00310971">
        <w:rPr>
          <w:sz w:val="20"/>
          <w:szCs w:val="20"/>
        </w:rPr>
        <w:t xml:space="preserve"> 2017, los Centros Emergencia Mujer del </w:t>
      </w:r>
      <w:r w:rsidR="00CF6F94">
        <w:rPr>
          <w:sz w:val="20"/>
          <w:szCs w:val="20"/>
        </w:rPr>
        <w:t>Ministerio de la Mujer y Poblaciones Vulnerables (</w:t>
      </w:r>
      <w:r w:rsidRPr="00310971">
        <w:rPr>
          <w:sz w:val="20"/>
          <w:szCs w:val="20"/>
        </w:rPr>
        <w:t>MIMP</w:t>
      </w:r>
      <w:r w:rsidR="00CF6F94">
        <w:rPr>
          <w:sz w:val="20"/>
          <w:szCs w:val="20"/>
        </w:rPr>
        <w:t>)</w:t>
      </w:r>
      <w:r w:rsidRPr="00310971">
        <w:rPr>
          <w:sz w:val="20"/>
          <w:szCs w:val="20"/>
        </w:rPr>
        <w:t>, atendieron </w:t>
      </w:r>
      <w:r w:rsidRPr="00310971">
        <w:rPr>
          <w:rStyle w:val="Textoennegrita"/>
          <w:b w:val="0"/>
          <w:bCs w:val="0"/>
          <w:sz w:val="20"/>
          <w:szCs w:val="20"/>
          <w:bdr w:val="none" w:sz="0" w:space="0" w:color="auto" w:frame="1"/>
        </w:rPr>
        <w:t>149</w:t>
      </w:r>
      <w:r w:rsidRPr="00310971">
        <w:rPr>
          <w:sz w:val="20"/>
          <w:szCs w:val="20"/>
        </w:rPr>
        <w:t> casos de personas LGTBI</w:t>
      </w:r>
      <w:r w:rsidR="003C1265" w:rsidRPr="00310971">
        <w:rPr>
          <w:sz w:val="20"/>
          <w:szCs w:val="20"/>
        </w:rPr>
        <w:t>, d</w:t>
      </w:r>
      <w:r w:rsidRPr="00310971">
        <w:rPr>
          <w:sz w:val="20"/>
          <w:szCs w:val="20"/>
        </w:rPr>
        <w:t>e los cuales, 51 casos fueron violencia por orientación sexual, y 94 casos de violencia por identidad de géner</w:t>
      </w:r>
      <w:r w:rsidR="00AF6DF6">
        <w:rPr>
          <w:sz w:val="20"/>
          <w:szCs w:val="20"/>
        </w:rPr>
        <w:t>o</w:t>
      </w:r>
      <w:r w:rsidRPr="00310971">
        <w:rPr>
          <w:sz w:val="20"/>
          <w:szCs w:val="20"/>
        </w:rPr>
        <w:t>.</w:t>
      </w:r>
      <w:r w:rsidR="008A20B2" w:rsidRPr="00E5374A">
        <w:rPr>
          <w:rStyle w:val="Refdenotaalfinal"/>
          <w:rFonts w:eastAsia="Cambria"/>
          <w:lang w:val="es-419"/>
        </w:rPr>
        <w:endnoteReference w:id="26"/>
      </w:r>
      <w:r w:rsidR="008A20B2" w:rsidRPr="00310971">
        <w:rPr>
          <w:sz w:val="20"/>
          <w:szCs w:val="20"/>
        </w:rPr>
        <w:t xml:space="preserve"> </w:t>
      </w:r>
      <w:r w:rsidR="002F21B2" w:rsidRPr="00310971">
        <w:rPr>
          <w:sz w:val="20"/>
          <w:szCs w:val="20"/>
          <w:lang w:val="es-PE"/>
        </w:rPr>
        <w:t>En el 2018, el</w:t>
      </w:r>
      <w:r w:rsidR="00CF6F94">
        <w:rPr>
          <w:noProof/>
          <w:sz w:val="20"/>
          <w:szCs w:val="20"/>
          <w:lang w:val="es-PE"/>
        </w:rPr>
        <w:t xml:space="preserve"> MIMP</w:t>
      </w:r>
      <w:r w:rsidR="002F21B2" w:rsidRPr="00310971">
        <w:rPr>
          <w:noProof/>
          <w:sz w:val="20"/>
          <w:szCs w:val="20"/>
          <w:lang w:val="es-PE"/>
        </w:rPr>
        <w:t>, reportó 80 casos de violencia contra las personas LGBT</w:t>
      </w:r>
      <w:r w:rsidR="002F21B2" w:rsidRPr="00B23A09">
        <w:rPr>
          <w:rStyle w:val="Refdenotaalfinal"/>
          <w:snapToGrid w:val="0"/>
          <w:sz w:val="20"/>
          <w:szCs w:val="20"/>
          <w:lang w:val="es-CO"/>
        </w:rPr>
        <w:endnoteReference w:id="27"/>
      </w:r>
      <w:r w:rsidR="002F21B2" w:rsidRPr="00310971">
        <w:rPr>
          <w:noProof/>
          <w:sz w:val="20"/>
          <w:szCs w:val="20"/>
          <w:lang w:val="es-PE"/>
        </w:rPr>
        <w:t xml:space="preserve">. En 2019,  reportó 98 casos, </w:t>
      </w:r>
      <w:r w:rsidR="00930F1E">
        <w:rPr>
          <w:sz w:val="20"/>
          <w:szCs w:val="20"/>
        </w:rPr>
        <w:t>l</w:t>
      </w:r>
      <w:r w:rsidR="00930F1E" w:rsidRPr="00310971">
        <w:rPr>
          <w:sz w:val="20"/>
          <w:szCs w:val="20"/>
        </w:rPr>
        <w:t xml:space="preserve">os tipos de violencia que denunciaron fueron: psicológica (49%), física (40%), sexual (11%). </w:t>
      </w:r>
      <w:r w:rsidR="002F21B2" w:rsidRPr="00310971">
        <w:rPr>
          <w:noProof/>
          <w:sz w:val="20"/>
          <w:szCs w:val="20"/>
          <w:lang w:val="es-PE"/>
        </w:rPr>
        <w:t xml:space="preserve"> </w:t>
      </w:r>
      <w:r w:rsidR="002F21B2" w:rsidRPr="00310971">
        <w:rPr>
          <w:sz w:val="20"/>
          <w:szCs w:val="20"/>
        </w:rPr>
        <w:t>el 18% tenía entre 0 a 17 años</w:t>
      </w:r>
      <w:r w:rsidR="002F21B2" w:rsidRPr="00310971">
        <w:rPr>
          <w:rStyle w:val="Refdenotaalfinal"/>
          <w:snapToGrid w:val="0"/>
          <w:sz w:val="20"/>
          <w:szCs w:val="20"/>
          <w:lang w:val="es-CO"/>
        </w:rPr>
        <w:t xml:space="preserve"> </w:t>
      </w:r>
      <w:r w:rsidR="002F21B2" w:rsidRPr="00B23A09">
        <w:rPr>
          <w:rStyle w:val="Refdenotaalfinal"/>
          <w:snapToGrid w:val="0"/>
          <w:sz w:val="20"/>
          <w:szCs w:val="20"/>
          <w:lang w:val="es-CO"/>
        </w:rPr>
        <w:endnoteReference w:id="28"/>
      </w:r>
      <w:r w:rsidR="002F21B2" w:rsidRPr="00310971">
        <w:rPr>
          <w:noProof/>
          <w:sz w:val="20"/>
          <w:szCs w:val="20"/>
          <w:lang w:val="es-PE"/>
        </w:rPr>
        <w:t xml:space="preserve">. </w:t>
      </w:r>
      <w:r w:rsidRPr="00310971">
        <w:rPr>
          <w:sz w:val="20"/>
          <w:szCs w:val="20"/>
        </w:rPr>
        <w:t xml:space="preserve">Según la evaluación de nivel de riesgo, el 14% de estos casos tenía un riesgo severo y requería atención inmediata. </w:t>
      </w:r>
      <w:r w:rsidRPr="00310971">
        <w:rPr>
          <w:sz w:val="20"/>
          <w:szCs w:val="20"/>
          <w:shd w:val="clear" w:color="auto" w:fill="FFFFFF"/>
        </w:rPr>
        <w:t>El vínculo relacional de la persona atendida con la persona agresora es el siguiente: relación de pareja (7%), algún familiar (64%) y otra persona que no es pareja ni familiar (29%).</w:t>
      </w:r>
      <w:r w:rsidR="008A20B2" w:rsidRPr="004F7A0E">
        <w:rPr>
          <w:rStyle w:val="Refdenotaalfinal"/>
          <w:sz w:val="20"/>
          <w:szCs w:val="20"/>
          <w:lang w:val="es-419"/>
        </w:rPr>
        <w:endnoteReference w:id="29"/>
      </w:r>
      <w:r w:rsidR="00FB2EE4" w:rsidRPr="00310971">
        <w:rPr>
          <w:sz w:val="20"/>
          <w:szCs w:val="20"/>
          <w:shd w:val="clear" w:color="auto" w:fill="FFFFFF"/>
        </w:rPr>
        <w:t xml:space="preserve"> </w:t>
      </w:r>
      <w:r w:rsidR="00310971" w:rsidRPr="00310971">
        <w:rPr>
          <w:noProof/>
          <w:sz w:val="20"/>
          <w:szCs w:val="20"/>
        </w:rPr>
        <w:t>E</w:t>
      </w:r>
      <w:r w:rsidR="00310971" w:rsidRPr="00310971">
        <w:rPr>
          <w:noProof/>
          <w:sz w:val="20"/>
          <w:szCs w:val="20"/>
          <w:lang w:val="es-PE"/>
        </w:rPr>
        <w:t>sta información no esta desagregrada por orientación sexual e identidad de género, además el exiguo porcentaje de denuncia sobre actos de discriminación se debe a la poca credibilidad de los operadores de justicia y por desconfianza de las instituciones estatales</w:t>
      </w:r>
      <w:r w:rsidR="00310971" w:rsidRPr="00310971">
        <w:rPr>
          <w:rStyle w:val="Refdenotaalfinal"/>
          <w:snapToGrid w:val="0"/>
          <w:sz w:val="20"/>
          <w:szCs w:val="20"/>
          <w:lang w:val="es-CO"/>
        </w:rPr>
        <w:endnoteReference w:id="30"/>
      </w:r>
      <w:r w:rsidR="00310971" w:rsidRPr="00310971">
        <w:rPr>
          <w:noProof/>
          <w:sz w:val="20"/>
          <w:szCs w:val="20"/>
          <w:lang w:val="es-PE"/>
        </w:rPr>
        <w:t xml:space="preserve">. </w:t>
      </w:r>
    </w:p>
    <w:p w14:paraId="4CB96ACA" w14:textId="77777777" w:rsidR="00310971" w:rsidRDefault="00310971" w:rsidP="00310971">
      <w:pPr>
        <w:pStyle w:val="Prrafodelista"/>
        <w:rPr>
          <w:sz w:val="20"/>
          <w:szCs w:val="20"/>
        </w:rPr>
      </w:pPr>
    </w:p>
    <w:p w14:paraId="125230AA" w14:textId="75C51434" w:rsidR="0073175F" w:rsidRDefault="0073175F" w:rsidP="0073175F">
      <w:pPr>
        <w:pStyle w:val="Prrafodelista"/>
        <w:numPr>
          <w:ilvl w:val="0"/>
          <w:numId w:val="1"/>
        </w:numPr>
        <w:tabs>
          <w:tab w:val="left" w:pos="142"/>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73175F">
        <w:rPr>
          <w:rFonts w:ascii="Times New Roman" w:hAnsi="Times New Roman" w:cs="Times New Roman"/>
          <w:sz w:val="20"/>
          <w:szCs w:val="20"/>
          <w:shd w:val="clear" w:color="auto" w:fill="FFFFFF"/>
        </w:rPr>
        <w:t xml:space="preserve">El Plan Nacional contra la Violencia de Género 2016 – 2021 aborda la violencia por orientación sexual, </w:t>
      </w:r>
      <w:r w:rsidR="00BC12E2">
        <w:rPr>
          <w:rFonts w:ascii="Times New Roman" w:hAnsi="Times New Roman" w:cs="Times New Roman"/>
          <w:sz w:val="20"/>
          <w:szCs w:val="20"/>
          <w:shd w:val="clear" w:color="auto" w:fill="FFFFFF"/>
        </w:rPr>
        <w:t>como</w:t>
      </w:r>
      <w:r w:rsidRPr="0073175F">
        <w:rPr>
          <w:rFonts w:ascii="Times New Roman" w:hAnsi="Times New Roman" w:cs="Times New Roman"/>
          <w:sz w:val="20"/>
          <w:szCs w:val="20"/>
          <w:shd w:val="clear" w:color="auto" w:fill="FFFFFF"/>
        </w:rPr>
        <w:t xml:space="preserve"> “todo acto o conducta que cause muerte, daño o sufrimiento físico, sexual o psicológico a una persona por su orientación sexual. La violencia hacia la diversidad sexual tiene como expresión más grave a los homicidios, asesinatos y violaciones sexuales a los cuales se les denomina </w:t>
      </w:r>
      <w:r w:rsidRPr="0073175F">
        <w:rPr>
          <w:rStyle w:val="nfasis"/>
          <w:rFonts w:ascii="Times New Roman" w:hAnsi="Times New Roman" w:cs="Times New Roman"/>
          <w:sz w:val="20"/>
          <w:szCs w:val="20"/>
          <w:bdr w:val="none" w:sz="0" w:space="0" w:color="auto" w:frame="1"/>
          <w:shd w:val="clear" w:color="auto" w:fill="FFFFFF"/>
        </w:rPr>
        <w:t>crímenes de odio</w:t>
      </w:r>
      <w:r w:rsidRPr="0073175F">
        <w:rPr>
          <w:rFonts w:ascii="Times New Roman" w:hAnsi="Times New Roman" w:cs="Times New Roman"/>
          <w:sz w:val="20"/>
          <w:szCs w:val="20"/>
          <w:shd w:val="clear" w:color="auto" w:fill="FFFFFF"/>
        </w:rPr>
        <w:t> o </w:t>
      </w:r>
      <w:r w:rsidRPr="0073175F">
        <w:rPr>
          <w:rStyle w:val="nfasis"/>
          <w:rFonts w:ascii="Times New Roman" w:hAnsi="Times New Roman" w:cs="Times New Roman"/>
          <w:sz w:val="20"/>
          <w:szCs w:val="20"/>
          <w:bdr w:val="none" w:sz="0" w:space="0" w:color="auto" w:frame="1"/>
          <w:shd w:val="clear" w:color="auto" w:fill="FFFFFF"/>
        </w:rPr>
        <w:t>violencia por prejuicio</w:t>
      </w:r>
      <w:r w:rsidRPr="0073175F">
        <w:rPr>
          <w:rFonts w:ascii="Times New Roman" w:hAnsi="Times New Roman" w:cs="Times New Roman"/>
          <w:sz w:val="20"/>
          <w:szCs w:val="20"/>
          <w:shd w:val="clear" w:color="auto" w:fill="FFFFFF"/>
        </w:rPr>
        <w:t>”. Sin embargo, no se contempla la identidad de género como un motivo prohibido de discriminación, dejando en desprotección a la población trans.  De la misma manera, la Ley 30364 en su artículo 3 señala que se debe</w:t>
      </w:r>
      <w:r w:rsidRPr="0073175F">
        <w:rPr>
          <w:rFonts w:ascii="Times New Roman" w:hAnsi="Times New Roman" w:cs="Times New Roman"/>
          <w:sz w:val="20"/>
          <w:szCs w:val="20"/>
        </w:rPr>
        <w:t xml:space="preserve"> considerar un enfoque interseccional teniendo en cuenta la orientación sexual de las mujeres, sin embargo, se ha omitido la identidad de género, invisibilizando de esa manera a las mujeres trans. </w:t>
      </w:r>
    </w:p>
    <w:p w14:paraId="7A9A65C0" w14:textId="77777777" w:rsidR="0073175F" w:rsidRPr="0073175F" w:rsidRDefault="0073175F" w:rsidP="0073175F">
      <w:pPr>
        <w:pStyle w:val="Prrafodelista"/>
        <w:rPr>
          <w:rFonts w:ascii="Times New Roman" w:hAnsi="Times New Roman" w:cs="Times New Roman"/>
          <w:sz w:val="20"/>
          <w:szCs w:val="20"/>
        </w:rPr>
      </w:pPr>
    </w:p>
    <w:p w14:paraId="7F0320A3" w14:textId="501012F6" w:rsidR="0073175F" w:rsidRPr="00056135" w:rsidRDefault="0073175F" w:rsidP="0073175F">
      <w:pPr>
        <w:pStyle w:val="Prrafodelista"/>
        <w:numPr>
          <w:ilvl w:val="0"/>
          <w:numId w:val="1"/>
        </w:numPr>
        <w:tabs>
          <w:tab w:val="left" w:pos="142"/>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056135">
        <w:rPr>
          <w:rFonts w:ascii="Times New Roman" w:hAnsi="Times New Roman" w:cs="Times New Roman"/>
          <w:sz w:val="20"/>
          <w:szCs w:val="20"/>
          <w:shd w:val="clear" w:color="auto" w:fill="FFFFFF"/>
        </w:rPr>
        <w:t xml:space="preserve">En el marco de la emergencia sanitaria del COVID 19, </w:t>
      </w:r>
      <w:r w:rsidR="00396676">
        <w:rPr>
          <w:rFonts w:ascii="Times New Roman" w:hAnsi="Times New Roman" w:cs="Times New Roman"/>
          <w:sz w:val="20"/>
          <w:szCs w:val="20"/>
          <w:shd w:val="clear" w:color="auto" w:fill="FFFFFF"/>
        </w:rPr>
        <w:t>se publicó</w:t>
      </w:r>
      <w:r w:rsidRPr="00056135">
        <w:rPr>
          <w:rFonts w:ascii="Times New Roman" w:hAnsi="Times New Roman" w:cs="Times New Roman"/>
          <w:sz w:val="20"/>
          <w:szCs w:val="20"/>
          <w:shd w:val="clear" w:color="auto" w:fill="FFFFFF"/>
        </w:rPr>
        <w:t xml:space="preserve"> el Decreto Legislativo N°1470, </w:t>
      </w:r>
      <w:r w:rsidR="00396676">
        <w:rPr>
          <w:rFonts w:ascii="Times New Roman" w:hAnsi="Times New Roman" w:cs="Times New Roman"/>
          <w:sz w:val="20"/>
          <w:szCs w:val="20"/>
          <w:shd w:val="clear" w:color="auto" w:fill="FFFFFF"/>
        </w:rPr>
        <w:t>que plantea una</w:t>
      </w:r>
      <w:r w:rsidRPr="00056135">
        <w:rPr>
          <w:rFonts w:ascii="Times New Roman" w:hAnsi="Times New Roman" w:cs="Times New Roman"/>
          <w:sz w:val="20"/>
          <w:szCs w:val="20"/>
          <w:shd w:val="clear" w:color="auto" w:fill="FFFFFF"/>
        </w:rPr>
        <w:t xml:space="preserve"> serie de reglas que agilizan el dictado de medidas de protección y/o cautelares frente a casos de violencia contra la mujer y el grupo familiar, y que la actuación de las y los operadores del servicio deberán </w:t>
      </w:r>
      <w:r w:rsidRPr="00056135">
        <w:rPr>
          <w:rFonts w:ascii="Times New Roman" w:hAnsi="Times New Roman" w:cs="Times New Roman"/>
          <w:sz w:val="20"/>
          <w:szCs w:val="20"/>
          <w:shd w:val="clear" w:color="auto" w:fill="FFFFFF"/>
        </w:rPr>
        <w:lastRenderedPageBreak/>
        <w:t xml:space="preserve">regirse bajo el respeto de los derechos humanos, quedando prohibidos actos de discriminación por orientación sexual e identidad de género. </w:t>
      </w:r>
      <w:r w:rsidR="007C1559" w:rsidRPr="00056135">
        <w:rPr>
          <w:rFonts w:ascii="Times New Roman" w:hAnsi="Times New Roman" w:cs="Times New Roman"/>
          <w:sz w:val="20"/>
          <w:szCs w:val="20"/>
          <w:shd w:val="clear" w:color="auto" w:fill="FFFFFF"/>
        </w:rPr>
        <w:t xml:space="preserve">Sin embargo, </w:t>
      </w:r>
      <w:r w:rsidRPr="00056135">
        <w:rPr>
          <w:rFonts w:ascii="Times New Roman" w:hAnsi="Times New Roman" w:cs="Times New Roman"/>
          <w:sz w:val="20"/>
          <w:szCs w:val="20"/>
          <w:shd w:val="clear" w:color="auto" w:fill="FFFFFF"/>
        </w:rPr>
        <w:t>este Decreto</w:t>
      </w:r>
      <w:r w:rsidR="00E45BAC" w:rsidRPr="00056135">
        <w:rPr>
          <w:rFonts w:ascii="Times New Roman" w:hAnsi="Times New Roman" w:cs="Times New Roman"/>
          <w:sz w:val="20"/>
          <w:szCs w:val="20"/>
          <w:shd w:val="clear" w:color="auto" w:fill="FFFFFF"/>
        </w:rPr>
        <w:t xml:space="preserve"> </w:t>
      </w:r>
      <w:r w:rsidRPr="00056135">
        <w:rPr>
          <w:rFonts w:ascii="Times New Roman" w:hAnsi="Times New Roman" w:cs="Times New Roman"/>
          <w:sz w:val="20"/>
          <w:szCs w:val="20"/>
          <w:shd w:val="clear" w:color="auto" w:fill="FFFFFF"/>
        </w:rPr>
        <w:t xml:space="preserve">no contempla medidas específicas para la atención de casos de violencia familiar por </w:t>
      </w:r>
      <w:r w:rsidR="0019247A">
        <w:rPr>
          <w:rFonts w:ascii="Times New Roman" w:hAnsi="Times New Roman" w:cs="Times New Roman"/>
          <w:sz w:val="20"/>
          <w:szCs w:val="20"/>
          <w:shd w:val="clear" w:color="auto" w:fill="FFFFFF"/>
        </w:rPr>
        <w:t>OSIG</w:t>
      </w:r>
      <w:r w:rsidR="00E45BAC" w:rsidRPr="00056135">
        <w:rPr>
          <w:rFonts w:ascii="Times New Roman" w:hAnsi="Times New Roman" w:cs="Times New Roman"/>
          <w:sz w:val="20"/>
          <w:szCs w:val="20"/>
          <w:shd w:val="clear" w:color="auto" w:fill="FFFFFF"/>
        </w:rPr>
        <w:t>. Asimismo, plantea desafíos relacionados con</w:t>
      </w:r>
      <w:r w:rsidRPr="00056135">
        <w:rPr>
          <w:rFonts w:ascii="Times New Roman" w:hAnsi="Times New Roman" w:cs="Times New Roman"/>
          <w:sz w:val="20"/>
          <w:szCs w:val="20"/>
          <w:shd w:val="clear" w:color="auto" w:fill="FFFFFF"/>
        </w:rPr>
        <w:t xml:space="preserve">: </w:t>
      </w:r>
      <w:r w:rsidRPr="00056135">
        <w:rPr>
          <w:rFonts w:ascii="Times New Roman" w:hAnsi="Times New Roman" w:cs="Times New Roman"/>
          <w:sz w:val="20"/>
          <w:szCs w:val="20"/>
        </w:rPr>
        <w:t xml:space="preserve">1) </w:t>
      </w:r>
      <w:r w:rsidR="00E45BAC" w:rsidRPr="00056135">
        <w:rPr>
          <w:rFonts w:ascii="Times New Roman" w:hAnsi="Times New Roman" w:cs="Times New Roman"/>
          <w:sz w:val="20"/>
          <w:szCs w:val="20"/>
        </w:rPr>
        <w:t>falta de p</w:t>
      </w:r>
      <w:r w:rsidRPr="00056135">
        <w:rPr>
          <w:rFonts w:ascii="Times New Roman" w:hAnsi="Times New Roman" w:cs="Times New Roman"/>
          <w:sz w:val="20"/>
          <w:szCs w:val="20"/>
        </w:rPr>
        <w:t xml:space="preserve">ersonal sensibilizado/capacitado; 2) </w:t>
      </w:r>
      <w:r w:rsidR="00E45BAC" w:rsidRPr="00056135">
        <w:rPr>
          <w:rFonts w:ascii="Times New Roman" w:hAnsi="Times New Roman" w:cs="Times New Roman"/>
          <w:sz w:val="20"/>
          <w:szCs w:val="20"/>
        </w:rPr>
        <w:t>falta de un r</w:t>
      </w:r>
      <w:r w:rsidRPr="00056135">
        <w:rPr>
          <w:rFonts w:ascii="Times New Roman" w:hAnsi="Times New Roman" w:cs="Times New Roman"/>
          <w:sz w:val="20"/>
          <w:szCs w:val="20"/>
        </w:rPr>
        <w:t>egistro de casos de violencia por orientación sexual e identidad de género</w:t>
      </w:r>
      <w:r w:rsidR="001906F9">
        <w:rPr>
          <w:rFonts w:ascii="Times New Roman" w:hAnsi="Times New Roman" w:cs="Times New Roman"/>
          <w:sz w:val="20"/>
          <w:szCs w:val="20"/>
        </w:rPr>
        <w:t xml:space="preserve">. </w:t>
      </w:r>
    </w:p>
    <w:p w14:paraId="1C4F7E9A" w14:textId="77777777" w:rsidR="007C1559" w:rsidRPr="007C1559" w:rsidRDefault="007C1559" w:rsidP="007C1559">
      <w:pPr>
        <w:pStyle w:val="Prrafodelista"/>
        <w:rPr>
          <w:rFonts w:ascii="Times New Roman" w:hAnsi="Times New Roman" w:cs="Times New Roman"/>
          <w:sz w:val="20"/>
          <w:szCs w:val="20"/>
        </w:rPr>
      </w:pPr>
    </w:p>
    <w:p w14:paraId="0BC1F451" w14:textId="77777777" w:rsidR="007C1559" w:rsidRPr="00005B30" w:rsidRDefault="007C1559" w:rsidP="00DE340D">
      <w:pPr>
        <w:pStyle w:val="Prrafodelista"/>
        <w:numPr>
          <w:ilvl w:val="0"/>
          <w:numId w:val="2"/>
        </w:numPr>
        <w:tabs>
          <w:tab w:val="left" w:pos="426"/>
        </w:tabs>
        <w:spacing w:after="0" w:line="240" w:lineRule="auto"/>
        <w:ind w:left="426" w:hanging="426"/>
        <w:jc w:val="both"/>
        <w:rPr>
          <w:rFonts w:ascii="Times New Roman" w:hAnsi="Times New Roman" w:cs="Times New Roman"/>
          <w:b/>
          <w:bCs/>
          <w:sz w:val="20"/>
          <w:szCs w:val="20"/>
        </w:rPr>
      </w:pPr>
      <w:r w:rsidRPr="00005B30">
        <w:rPr>
          <w:rFonts w:ascii="Times New Roman" w:hAnsi="Times New Roman" w:cs="Times New Roman"/>
          <w:b/>
          <w:sz w:val="20"/>
          <w:szCs w:val="20"/>
        </w:rPr>
        <w:t>Discriminación en la regulación civil de las relaciones de pareja no heterosexuales y la protección a sus familias</w:t>
      </w:r>
    </w:p>
    <w:p w14:paraId="2AC679EE" w14:textId="77777777" w:rsidR="007C1559" w:rsidRPr="00005B30" w:rsidRDefault="007C1559" w:rsidP="007C1559">
      <w:pPr>
        <w:tabs>
          <w:tab w:val="left" w:pos="142"/>
          <w:tab w:val="left" w:pos="284"/>
        </w:tabs>
        <w:spacing w:after="0" w:line="240" w:lineRule="auto"/>
        <w:contextualSpacing/>
        <w:jc w:val="both"/>
        <w:rPr>
          <w:rFonts w:ascii="Times New Roman" w:hAnsi="Times New Roman" w:cs="Times New Roman"/>
          <w:bCs/>
          <w:sz w:val="20"/>
          <w:szCs w:val="20"/>
        </w:rPr>
      </w:pPr>
    </w:p>
    <w:p w14:paraId="3197077A" w14:textId="239B54A6" w:rsidR="007C1559" w:rsidRPr="00CD5041" w:rsidRDefault="007C1559" w:rsidP="007C1559">
      <w:pPr>
        <w:pStyle w:val="Prrafodelista"/>
        <w:numPr>
          <w:ilvl w:val="0"/>
          <w:numId w:val="1"/>
        </w:numPr>
        <w:tabs>
          <w:tab w:val="left" w:pos="142"/>
          <w:tab w:val="left" w:pos="426"/>
        </w:tabs>
        <w:spacing w:after="0" w:line="240" w:lineRule="auto"/>
        <w:ind w:left="0" w:firstLine="0"/>
        <w:jc w:val="both"/>
        <w:rPr>
          <w:rFonts w:ascii="Times New Roman" w:hAnsi="Times New Roman" w:cs="Times New Roman"/>
          <w:bCs/>
          <w:sz w:val="20"/>
          <w:szCs w:val="20"/>
        </w:rPr>
      </w:pPr>
      <w:r w:rsidRPr="00CD5041">
        <w:rPr>
          <w:rFonts w:ascii="Times New Roman" w:hAnsi="Times New Roman" w:cs="Times New Roman"/>
          <w:sz w:val="20"/>
          <w:szCs w:val="20"/>
        </w:rPr>
        <w:t>Actualmente, el Perú no cuenta con ninguna regulación que permita brindar protección a las parejas del mismo sexo. Sin embargo, se han presentado desde el año 2010 una serie de proyectos de ley que han buscado</w:t>
      </w:r>
      <w:r w:rsidR="00E45BAC" w:rsidRPr="00CD5041">
        <w:rPr>
          <w:rFonts w:ascii="Times New Roman" w:hAnsi="Times New Roman" w:cs="Times New Roman"/>
          <w:sz w:val="20"/>
          <w:szCs w:val="20"/>
        </w:rPr>
        <w:t xml:space="preserve">, en mayor o menor medida, la creación de un </w:t>
      </w:r>
      <w:r w:rsidR="00E45BAC" w:rsidRPr="00CD5041">
        <w:rPr>
          <w:rFonts w:ascii="Times New Roman" w:hAnsi="Times New Roman" w:cs="Times New Roman"/>
          <w:bCs/>
          <w:sz w:val="20"/>
          <w:szCs w:val="20"/>
        </w:rPr>
        <w:t>marco normativo para el ejercicio y salvaguarda de sus derechos</w:t>
      </w:r>
      <w:r w:rsidR="00CD5041" w:rsidRPr="00CD5041">
        <w:rPr>
          <w:rFonts w:ascii="Times New Roman" w:hAnsi="Times New Roman" w:cs="Times New Roman"/>
          <w:bCs/>
          <w:sz w:val="20"/>
          <w:szCs w:val="20"/>
        </w:rPr>
        <w:t xml:space="preserve">. </w:t>
      </w:r>
      <w:r w:rsidRPr="00CD5041">
        <w:rPr>
          <w:rFonts w:ascii="Times New Roman" w:hAnsi="Times New Roman" w:cs="Times New Roman"/>
          <w:bCs/>
          <w:sz w:val="20"/>
          <w:szCs w:val="20"/>
        </w:rPr>
        <w:t>En el 2016 se presentaron dos proyectos de ley vinculados al reconocimiento de las familias conformadas por parejas del mismo sexo</w:t>
      </w:r>
      <w:r w:rsidRPr="00CD5041">
        <w:rPr>
          <w:rFonts w:ascii="Times New Roman" w:hAnsi="Times New Roman" w:cs="Times New Roman"/>
          <w:b/>
          <w:sz w:val="20"/>
          <w:szCs w:val="20"/>
        </w:rPr>
        <w:t xml:space="preserve">: </w:t>
      </w:r>
      <w:r w:rsidRPr="00CD5041">
        <w:rPr>
          <w:rFonts w:ascii="Times New Roman" w:hAnsi="Times New Roman" w:cs="Times New Roman"/>
          <w:bCs/>
          <w:sz w:val="20"/>
          <w:szCs w:val="20"/>
        </w:rPr>
        <w:t xml:space="preserve">el proyecto de ley 961-2016-CR, Ley de Matrimonio Igualitario y </w:t>
      </w:r>
      <w:r w:rsidRPr="00CD5041">
        <w:rPr>
          <w:rFonts w:ascii="Times New Roman" w:hAnsi="Times New Roman" w:cs="Times New Roman"/>
          <w:sz w:val="20"/>
          <w:szCs w:val="20"/>
        </w:rPr>
        <w:t>el proyecto 00718/2016-CR Ley que regula la Unión Civil</w:t>
      </w:r>
      <w:r w:rsidRPr="00CD5041">
        <w:rPr>
          <w:rFonts w:ascii="Times New Roman" w:hAnsi="Times New Roman" w:cs="Times New Roman"/>
          <w:bCs/>
          <w:sz w:val="20"/>
          <w:szCs w:val="20"/>
        </w:rPr>
        <w:t>. Sin embargo, hasta el envío de este informe, ninguno de estos proyectos se ha agendado para debate en la Comisión de Derechos Humanos del Congreso de la República</w:t>
      </w:r>
      <w:r w:rsidR="00DE467F" w:rsidRPr="00CD5041">
        <w:rPr>
          <w:rFonts w:ascii="Times New Roman" w:hAnsi="Times New Roman" w:cs="Times New Roman"/>
          <w:bCs/>
          <w:sz w:val="20"/>
          <w:szCs w:val="20"/>
        </w:rPr>
        <w:t>.</w:t>
      </w:r>
    </w:p>
    <w:p w14:paraId="0A06A67F" w14:textId="77777777" w:rsidR="007C1559" w:rsidRPr="00005B30" w:rsidRDefault="007C1559" w:rsidP="007C1559">
      <w:pPr>
        <w:pStyle w:val="Prrafodelista"/>
        <w:tabs>
          <w:tab w:val="left" w:pos="426"/>
        </w:tabs>
        <w:spacing w:after="0" w:line="240" w:lineRule="auto"/>
        <w:ind w:left="0"/>
        <w:rPr>
          <w:rFonts w:ascii="Times New Roman" w:hAnsi="Times New Roman" w:cs="Times New Roman"/>
          <w:bCs/>
          <w:sz w:val="20"/>
          <w:szCs w:val="20"/>
        </w:rPr>
      </w:pPr>
    </w:p>
    <w:p w14:paraId="3C2DFB14" w14:textId="70AA87CE" w:rsidR="007C1559" w:rsidRPr="00005B30" w:rsidRDefault="007C1559" w:rsidP="007C1559">
      <w:pPr>
        <w:pStyle w:val="Prrafodelista"/>
        <w:numPr>
          <w:ilvl w:val="0"/>
          <w:numId w:val="1"/>
        </w:numPr>
        <w:tabs>
          <w:tab w:val="left" w:pos="142"/>
          <w:tab w:val="left" w:pos="426"/>
        </w:tabs>
        <w:spacing w:after="0" w:line="240" w:lineRule="auto"/>
        <w:ind w:left="0" w:firstLine="0"/>
        <w:jc w:val="both"/>
        <w:rPr>
          <w:rFonts w:ascii="Times New Roman" w:hAnsi="Times New Roman" w:cs="Times New Roman"/>
          <w:bCs/>
          <w:sz w:val="20"/>
          <w:szCs w:val="20"/>
        </w:rPr>
      </w:pPr>
      <w:r w:rsidRPr="00005B30">
        <w:rPr>
          <w:rFonts w:ascii="Times New Roman" w:hAnsi="Times New Roman" w:cs="Times New Roman"/>
          <w:bCs/>
          <w:sz w:val="20"/>
          <w:szCs w:val="20"/>
        </w:rPr>
        <w:t xml:space="preserve">Por otro lado, en el ámbito del litigio, el Décimo Primer Juzgado Constitucional de la Corte Superior de Justicia de Lima, ha resuelto de forma positiva en el caso de </w:t>
      </w:r>
      <w:proofErr w:type="spellStart"/>
      <w:r w:rsidRPr="00005B30">
        <w:rPr>
          <w:rFonts w:ascii="Times New Roman" w:hAnsi="Times New Roman" w:cs="Times New Roman"/>
          <w:bCs/>
          <w:sz w:val="20"/>
          <w:szCs w:val="20"/>
        </w:rPr>
        <w:t>Susel</w:t>
      </w:r>
      <w:proofErr w:type="spellEnd"/>
      <w:r w:rsidRPr="00005B30">
        <w:rPr>
          <w:rFonts w:ascii="Times New Roman" w:hAnsi="Times New Roman" w:cs="Times New Roman"/>
          <w:bCs/>
          <w:sz w:val="20"/>
          <w:szCs w:val="20"/>
        </w:rPr>
        <w:t xml:space="preserve"> Paredes Pique y Gracia María </w:t>
      </w:r>
      <w:proofErr w:type="spellStart"/>
      <w:r w:rsidRPr="00005B30">
        <w:rPr>
          <w:rFonts w:ascii="Times New Roman" w:hAnsi="Times New Roman" w:cs="Times New Roman"/>
          <w:bCs/>
          <w:sz w:val="20"/>
          <w:szCs w:val="20"/>
        </w:rPr>
        <w:t>Aljovin</w:t>
      </w:r>
      <w:proofErr w:type="spellEnd"/>
      <w:r w:rsidRPr="00005B30">
        <w:rPr>
          <w:rFonts w:ascii="Times New Roman" w:hAnsi="Times New Roman" w:cs="Times New Roman"/>
          <w:bCs/>
          <w:sz w:val="20"/>
          <w:szCs w:val="20"/>
        </w:rPr>
        <w:t xml:space="preserve">, ambas de nacionalidad peruana, quienes no podían inscribir su matrimonio realizado en el extranjero en los registros civiles peruanos porque el </w:t>
      </w:r>
      <w:r w:rsidRPr="00005B30">
        <w:rPr>
          <w:rFonts w:ascii="Times New Roman" w:hAnsi="Times New Roman" w:cs="Times New Roman"/>
          <w:bCs/>
          <w:i/>
          <w:sz w:val="20"/>
          <w:szCs w:val="20"/>
        </w:rPr>
        <w:t>Registro Nacional de Identificación y Educación Civil (</w:t>
      </w:r>
      <w:proofErr w:type="spellStart"/>
      <w:r w:rsidRPr="00005B30">
        <w:rPr>
          <w:rFonts w:ascii="Times New Roman" w:hAnsi="Times New Roman" w:cs="Times New Roman"/>
          <w:bCs/>
          <w:i/>
          <w:sz w:val="20"/>
          <w:szCs w:val="20"/>
        </w:rPr>
        <w:t>Reniec</w:t>
      </w:r>
      <w:proofErr w:type="spellEnd"/>
      <w:r w:rsidRPr="00005B30">
        <w:rPr>
          <w:rFonts w:ascii="Times New Roman" w:hAnsi="Times New Roman" w:cs="Times New Roman"/>
          <w:bCs/>
          <w:i/>
          <w:sz w:val="20"/>
          <w:szCs w:val="20"/>
        </w:rPr>
        <w:t>) señalaba que el Código Civil peruano solo permite el matrimonio entre un hombre y una mujer</w:t>
      </w:r>
      <w:r w:rsidRPr="00005B30">
        <w:rPr>
          <w:rFonts w:ascii="Times New Roman" w:hAnsi="Times New Roman" w:cs="Times New Roman"/>
          <w:bCs/>
          <w:sz w:val="20"/>
          <w:szCs w:val="20"/>
        </w:rPr>
        <w:t xml:space="preserve">; sin embargo, dicho fallo que garantiza los derechos de esta pareja no heterosexual ha sido apelado por la </w:t>
      </w:r>
      <w:proofErr w:type="spellStart"/>
      <w:r w:rsidRPr="00005B30">
        <w:rPr>
          <w:rFonts w:ascii="Times New Roman" w:hAnsi="Times New Roman" w:cs="Times New Roman"/>
          <w:bCs/>
          <w:sz w:val="20"/>
          <w:szCs w:val="20"/>
        </w:rPr>
        <w:t>Reniec</w:t>
      </w:r>
      <w:proofErr w:type="spellEnd"/>
      <w:r w:rsidR="008A20B2">
        <w:rPr>
          <w:rStyle w:val="Refdenotaalfinal"/>
          <w:rFonts w:ascii="Times New Roman" w:hAnsi="Times New Roman" w:cs="Times New Roman"/>
          <w:sz w:val="20"/>
          <w:szCs w:val="20"/>
          <w:lang w:val="es-419"/>
        </w:rPr>
        <w:endnoteReference w:id="31"/>
      </w:r>
      <w:r w:rsidRPr="00005B30">
        <w:rPr>
          <w:rFonts w:ascii="Times New Roman" w:hAnsi="Times New Roman" w:cs="Times New Roman"/>
          <w:bCs/>
          <w:sz w:val="20"/>
          <w:szCs w:val="20"/>
        </w:rPr>
        <w:t xml:space="preserve">. Del mismo modo, se conoce el caso de Darling Delfín y Jenny Trujillo, una pareja de lesbianas que pidió, también a </w:t>
      </w:r>
      <w:proofErr w:type="spellStart"/>
      <w:r w:rsidRPr="00005B30">
        <w:rPr>
          <w:rFonts w:ascii="Times New Roman" w:hAnsi="Times New Roman" w:cs="Times New Roman"/>
          <w:bCs/>
          <w:sz w:val="20"/>
          <w:szCs w:val="20"/>
        </w:rPr>
        <w:t>Reniec</w:t>
      </w:r>
      <w:proofErr w:type="spellEnd"/>
      <w:r w:rsidRPr="00005B30">
        <w:rPr>
          <w:rFonts w:ascii="Times New Roman" w:hAnsi="Times New Roman" w:cs="Times New Roman"/>
          <w:bCs/>
          <w:sz w:val="20"/>
          <w:szCs w:val="20"/>
        </w:rPr>
        <w:t>, que el DNI de su hijo reconozca la relación filial de ambas como madres sin obtener respuesta favorable alguna. Estos son algunos de los casos que dan cuenta del contexto de desprotección jurídica, de orden personal y patrimonial, de las relaciones de pareja y familiares de las personas LGBT en el país.</w:t>
      </w:r>
    </w:p>
    <w:p w14:paraId="08ADF8C3" w14:textId="77777777" w:rsidR="00E45BAC" w:rsidRPr="0073175F" w:rsidRDefault="00E45BAC" w:rsidP="00E45BAC">
      <w:pPr>
        <w:pStyle w:val="Prrafodelista"/>
        <w:tabs>
          <w:tab w:val="left" w:pos="142"/>
          <w:tab w:val="left" w:pos="426"/>
        </w:tabs>
        <w:autoSpaceDE w:val="0"/>
        <w:autoSpaceDN w:val="0"/>
        <w:adjustRightInd w:val="0"/>
        <w:spacing w:after="0" w:line="240" w:lineRule="auto"/>
        <w:ind w:left="0"/>
        <w:jc w:val="both"/>
        <w:rPr>
          <w:rFonts w:ascii="Times New Roman" w:hAnsi="Times New Roman" w:cs="Times New Roman"/>
          <w:sz w:val="20"/>
          <w:szCs w:val="20"/>
        </w:rPr>
      </w:pPr>
    </w:p>
    <w:p w14:paraId="0F9F462A" w14:textId="77777777" w:rsidR="00E45BAC" w:rsidRPr="00005B30" w:rsidRDefault="00E45BAC" w:rsidP="00E45BAC">
      <w:pPr>
        <w:pStyle w:val="Prrafodelista"/>
        <w:numPr>
          <w:ilvl w:val="0"/>
          <w:numId w:val="2"/>
        </w:numPr>
        <w:tabs>
          <w:tab w:val="left" w:pos="284"/>
          <w:tab w:val="left" w:pos="426"/>
        </w:tabs>
        <w:spacing w:after="0" w:line="240" w:lineRule="auto"/>
        <w:ind w:left="284" w:hanging="284"/>
        <w:jc w:val="both"/>
        <w:rPr>
          <w:rFonts w:ascii="Times New Roman" w:hAnsi="Times New Roman" w:cs="Times New Roman"/>
          <w:b/>
          <w:sz w:val="20"/>
          <w:szCs w:val="20"/>
        </w:rPr>
      </w:pPr>
      <w:r w:rsidRPr="00005B30">
        <w:rPr>
          <w:rFonts w:ascii="Times New Roman" w:hAnsi="Times New Roman" w:cs="Times New Roman"/>
          <w:b/>
          <w:sz w:val="20"/>
          <w:szCs w:val="20"/>
        </w:rPr>
        <w:t xml:space="preserve">El derecho a la identidad de las personas transgéneros y la falta de una regulación para garantizar la identidad de género </w:t>
      </w:r>
    </w:p>
    <w:p w14:paraId="6C538469" w14:textId="77777777" w:rsidR="00E45BAC" w:rsidRPr="00005B30" w:rsidRDefault="00E45BAC" w:rsidP="00E45BAC">
      <w:pPr>
        <w:tabs>
          <w:tab w:val="left" w:pos="426"/>
        </w:tabs>
        <w:autoSpaceDE w:val="0"/>
        <w:autoSpaceDN w:val="0"/>
        <w:adjustRightInd w:val="0"/>
        <w:spacing w:after="0" w:line="240" w:lineRule="auto"/>
        <w:contextualSpacing/>
        <w:jc w:val="both"/>
        <w:rPr>
          <w:rFonts w:ascii="Times New Roman" w:eastAsia="Times New Roman" w:hAnsi="Times New Roman" w:cs="Times New Roman"/>
          <w:spacing w:val="-15"/>
          <w:sz w:val="20"/>
          <w:szCs w:val="20"/>
          <w:lang w:eastAsia="es-PE"/>
        </w:rPr>
      </w:pPr>
    </w:p>
    <w:p w14:paraId="65CA6E15" w14:textId="49BF7CD4" w:rsidR="00E45BAC" w:rsidRPr="00181690" w:rsidRDefault="00E45BAC" w:rsidP="00E45BAC">
      <w:pPr>
        <w:pStyle w:val="Prrafodelista"/>
        <w:numPr>
          <w:ilvl w:val="0"/>
          <w:numId w:val="1"/>
        </w:numPr>
        <w:tabs>
          <w:tab w:val="left" w:pos="426"/>
          <w:tab w:val="left" w:pos="567"/>
        </w:tabs>
        <w:spacing w:after="0" w:line="240" w:lineRule="auto"/>
        <w:ind w:left="0" w:firstLine="0"/>
        <w:jc w:val="both"/>
        <w:rPr>
          <w:rFonts w:ascii="Times New Roman" w:hAnsi="Times New Roman" w:cs="Times New Roman"/>
          <w:b/>
          <w:sz w:val="20"/>
          <w:szCs w:val="20"/>
        </w:rPr>
      </w:pPr>
      <w:r w:rsidRPr="00181690">
        <w:rPr>
          <w:rFonts w:ascii="Times New Roman" w:hAnsi="Times New Roman" w:cs="Times New Roman"/>
          <w:sz w:val="20"/>
          <w:szCs w:val="20"/>
        </w:rPr>
        <w:t>La situación de desprotección por la falta de reconocimiento de la identidad de género expone a las personas trans a la marginación y exclusión, así como las denigra y somete a una constante humillación en un contexto cultural que no garantiza sus derechos humanos</w:t>
      </w:r>
      <w:r w:rsidR="002C3D6D">
        <w:rPr>
          <w:rFonts w:ascii="Times New Roman" w:hAnsi="Times New Roman" w:cs="Times New Roman"/>
          <w:sz w:val="20"/>
          <w:szCs w:val="20"/>
        </w:rPr>
        <w:t>.</w:t>
      </w:r>
      <w:r w:rsidR="002C3D6D" w:rsidRPr="004F7A0E">
        <w:rPr>
          <w:rStyle w:val="Refdenotaalfinal"/>
          <w:rFonts w:ascii="Times New Roman" w:eastAsia="Calibri" w:hAnsi="Times New Roman" w:cs="Times New Roman"/>
          <w:lang w:val="es-419"/>
        </w:rPr>
        <w:endnoteReference w:id="32"/>
      </w:r>
    </w:p>
    <w:p w14:paraId="35A5927A" w14:textId="77777777" w:rsidR="00181690" w:rsidRPr="00181690" w:rsidRDefault="00181690" w:rsidP="00181690">
      <w:pPr>
        <w:pStyle w:val="Prrafodelista"/>
        <w:tabs>
          <w:tab w:val="left" w:pos="426"/>
          <w:tab w:val="left" w:pos="567"/>
        </w:tabs>
        <w:spacing w:after="0" w:line="240" w:lineRule="auto"/>
        <w:ind w:left="0"/>
        <w:jc w:val="both"/>
        <w:rPr>
          <w:rFonts w:ascii="Times New Roman" w:hAnsi="Times New Roman" w:cs="Times New Roman"/>
          <w:b/>
          <w:sz w:val="20"/>
          <w:szCs w:val="20"/>
        </w:rPr>
      </w:pPr>
    </w:p>
    <w:p w14:paraId="119E8466" w14:textId="3343E82A" w:rsidR="00181690" w:rsidRDefault="005E6F3A" w:rsidP="00E96DFC">
      <w:pPr>
        <w:pStyle w:val="Prrafodelista"/>
        <w:numPr>
          <w:ilvl w:val="0"/>
          <w:numId w:val="1"/>
        </w:numPr>
        <w:tabs>
          <w:tab w:val="left" w:pos="426"/>
          <w:tab w:val="left" w:pos="567"/>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La</w:t>
      </w:r>
      <w:r w:rsidR="00E45BAC" w:rsidRPr="00181690">
        <w:rPr>
          <w:rFonts w:ascii="Times New Roman" w:hAnsi="Times New Roman" w:cs="Times New Roman"/>
          <w:sz w:val="20"/>
          <w:szCs w:val="20"/>
        </w:rPr>
        <w:t xml:space="preserve"> Comisión Nacional contra la Discriminación (CONACOD), a partir del análisis de 138 demandas presentadas a nivel nacional en un periodo de 5 años, señala que las personas trans han venido empleando la vía judicial en el marco de lo que prevé el artículo 29° del Código Civil</w:t>
      </w:r>
      <w:r w:rsidR="002D7B1A" w:rsidRPr="00B84E2F">
        <w:rPr>
          <w:rStyle w:val="Refdenotaalfinal"/>
          <w:rFonts w:ascii="Times New Roman" w:eastAsia="Calibri" w:hAnsi="Times New Roman" w:cs="Times New Roman"/>
          <w:lang w:val="es-419"/>
        </w:rPr>
        <w:endnoteReference w:id="33"/>
      </w:r>
      <w:r w:rsidR="00E45BAC" w:rsidRPr="00181690">
        <w:rPr>
          <w:rFonts w:ascii="Times New Roman" w:hAnsi="Times New Roman" w:cs="Times New Roman"/>
          <w:sz w:val="20"/>
          <w:szCs w:val="20"/>
        </w:rPr>
        <w:t>, ante la ausencia de un procedimiento administrativo célere que permita la actualización de datos ante el RENIEC. No obstante, los resultados han sido en la mayoría de los casos adversos</w:t>
      </w:r>
      <w:r w:rsidR="000F7A79">
        <w:rPr>
          <w:rFonts w:ascii="Times New Roman" w:hAnsi="Times New Roman" w:cs="Times New Roman"/>
          <w:sz w:val="20"/>
          <w:szCs w:val="20"/>
        </w:rPr>
        <w:t xml:space="preserve">: </w:t>
      </w:r>
      <w:r w:rsidR="00E45BAC" w:rsidRPr="00181690">
        <w:rPr>
          <w:rFonts w:ascii="Times New Roman" w:hAnsi="Times New Roman" w:cs="Times New Roman"/>
          <w:sz w:val="20"/>
          <w:szCs w:val="20"/>
        </w:rPr>
        <w:t xml:space="preserve">el nivel de eficacia de los procesos, en los cinco años que cubre el reporte alcanzado por RENIEC, solo 9 </w:t>
      </w:r>
      <w:r w:rsidR="000F7A79">
        <w:rPr>
          <w:rFonts w:ascii="Times New Roman" w:hAnsi="Times New Roman" w:cs="Times New Roman"/>
          <w:sz w:val="20"/>
          <w:szCs w:val="20"/>
        </w:rPr>
        <w:t xml:space="preserve">(de 140 casos) </w:t>
      </w:r>
      <w:r w:rsidR="00E45BAC" w:rsidRPr="00181690">
        <w:rPr>
          <w:rFonts w:ascii="Times New Roman" w:hAnsi="Times New Roman" w:cs="Times New Roman"/>
          <w:sz w:val="20"/>
          <w:szCs w:val="20"/>
        </w:rPr>
        <w:t>habrían concluido su trámite, de los cuales solo 4 habrían sido acogidos con sentencias estimatorias (fundadas).</w:t>
      </w:r>
      <w:r w:rsidR="002D7B1A" w:rsidRPr="00DD24EF">
        <w:rPr>
          <w:rStyle w:val="Refdenotaalfinal"/>
          <w:rFonts w:ascii="Times New Roman" w:hAnsi="Times New Roman" w:cs="Times New Roman"/>
          <w:lang w:val="es-ES"/>
        </w:rPr>
        <w:endnoteReference w:id="34"/>
      </w:r>
    </w:p>
    <w:p w14:paraId="0949F734" w14:textId="77777777" w:rsidR="00181690" w:rsidRPr="00181690" w:rsidRDefault="00181690" w:rsidP="00181690">
      <w:pPr>
        <w:pStyle w:val="Prrafodelista"/>
        <w:rPr>
          <w:rFonts w:ascii="Times New Roman" w:hAnsi="Times New Roman" w:cs="Times New Roman"/>
          <w:sz w:val="20"/>
          <w:szCs w:val="20"/>
        </w:rPr>
      </w:pPr>
    </w:p>
    <w:p w14:paraId="2D7C166B" w14:textId="35041A47" w:rsidR="00E45BAC" w:rsidRPr="00181690" w:rsidRDefault="00E45BAC" w:rsidP="00E96DFC">
      <w:pPr>
        <w:pStyle w:val="Prrafodelista"/>
        <w:numPr>
          <w:ilvl w:val="0"/>
          <w:numId w:val="1"/>
        </w:numPr>
        <w:tabs>
          <w:tab w:val="left" w:pos="426"/>
          <w:tab w:val="left" w:pos="567"/>
        </w:tabs>
        <w:spacing w:after="0" w:line="240" w:lineRule="auto"/>
        <w:ind w:left="0" w:firstLine="0"/>
        <w:jc w:val="both"/>
        <w:rPr>
          <w:rFonts w:ascii="Times New Roman" w:hAnsi="Times New Roman" w:cs="Times New Roman"/>
          <w:sz w:val="20"/>
          <w:szCs w:val="20"/>
        </w:rPr>
      </w:pPr>
      <w:r w:rsidRPr="00181690">
        <w:rPr>
          <w:rFonts w:ascii="Times New Roman" w:hAnsi="Times New Roman" w:cs="Times New Roman"/>
          <w:sz w:val="20"/>
          <w:szCs w:val="20"/>
        </w:rPr>
        <w:t>Asimismo, se ha evidenciado que existen diversas trabas procesales</w:t>
      </w:r>
      <w:r w:rsidR="002E634C">
        <w:rPr>
          <w:rFonts w:ascii="Times New Roman" w:hAnsi="Times New Roman" w:cs="Times New Roman"/>
          <w:sz w:val="20"/>
          <w:szCs w:val="20"/>
        </w:rPr>
        <w:t xml:space="preserve">: 1) </w:t>
      </w:r>
      <w:r w:rsidRPr="00181690">
        <w:rPr>
          <w:rFonts w:ascii="Times New Roman" w:hAnsi="Times New Roman" w:cs="Times New Roman"/>
          <w:sz w:val="20"/>
          <w:szCs w:val="20"/>
        </w:rPr>
        <w:t>no cumplimiento de los plazos establecidos,</w:t>
      </w:r>
      <w:r w:rsidR="002E634C">
        <w:rPr>
          <w:rFonts w:ascii="Times New Roman" w:hAnsi="Times New Roman" w:cs="Times New Roman"/>
          <w:sz w:val="20"/>
          <w:szCs w:val="20"/>
        </w:rPr>
        <w:t xml:space="preserve"> 2)</w:t>
      </w:r>
      <w:r w:rsidRPr="00181690">
        <w:rPr>
          <w:rFonts w:ascii="Times New Roman" w:hAnsi="Times New Roman" w:cs="Times New Roman"/>
          <w:sz w:val="20"/>
          <w:szCs w:val="20"/>
        </w:rPr>
        <w:t xml:space="preserve"> la acreditación de la iniciación de un proceso de transformación y </w:t>
      </w:r>
      <w:r w:rsidR="002E634C">
        <w:rPr>
          <w:rFonts w:ascii="Times New Roman" w:hAnsi="Times New Roman" w:cs="Times New Roman"/>
          <w:sz w:val="20"/>
          <w:szCs w:val="20"/>
        </w:rPr>
        <w:t xml:space="preserve">3) </w:t>
      </w:r>
      <w:r w:rsidRPr="00181690">
        <w:rPr>
          <w:rFonts w:ascii="Times New Roman" w:hAnsi="Times New Roman" w:cs="Times New Roman"/>
          <w:sz w:val="20"/>
          <w:szCs w:val="20"/>
        </w:rPr>
        <w:t>la discrecionalidad de los jueces que, muchas veces, contribuye negativamente en la dilatación de los procesos judiciales. Además, es resaltable la utilización del certificado médico de disforia de género, lo que representa un problema teniendo en cuenta que la disforia de género es entendida como la patologización de lo trans y es usado por el juez como argumento principal para declarar fundada la demanda.</w:t>
      </w:r>
      <w:r w:rsidR="002D7B1A">
        <w:rPr>
          <w:rStyle w:val="Refdenotaalfinal"/>
          <w:rFonts w:ascii="Times New Roman" w:hAnsi="Times New Roman" w:cs="Times New Roman"/>
          <w:lang w:val="es-ES"/>
        </w:rPr>
        <w:endnoteReference w:id="35"/>
      </w:r>
    </w:p>
    <w:p w14:paraId="0C74CEF5" w14:textId="77777777" w:rsidR="00E45BAC" w:rsidRPr="00005B30" w:rsidRDefault="00E45BAC" w:rsidP="00E45BAC">
      <w:pPr>
        <w:pStyle w:val="Prrafodelista"/>
        <w:tabs>
          <w:tab w:val="left" w:pos="426"/>
          <w:tab w:val="left" w:pos="567"/>
        </w:tabs>
        <w:spacing w:after="0" w:line="240" w:lineRule="auto"/>
        <w:ind w:left="0"/>
        <w:jc w:val="both"/>
        <w:rPr>
          <w:rFonts w:ascii="Times New Roman" w:hAnsi="Times New Roman" w:cs="Times New Roman"/>
          <w:sz w:val="20"/>
          <w:szCs w:val="20"/>
        </w:rPr>
      </w:pPr>
    </w:p>
    <w:p w14:paraId="78343670" w14:textId="23E58EC8" w:rsidR="00E45BAC" w:rsidRPr="00005B30" w:rsidRDefault="00E96DFC" w:rsidP="00E45BAC">
      <w:pPr>
        <w:pStyle w:val="Prrafodelista"/>
        <w:numPr>
          <w:ilvl w:val="0"/>
          <w:numId w:val="1"/>
        </w:numPr>
        <w:tabs>
          <w:tab w:val="left" w:pos="142"/>
          <w:tab w:val="left" w:pos="426"/>
          <w:tab w:val="left" w:pos="567"/>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w:t>
      </w:r>
      <w:r w:rsidR="00E45BAC" w:rsidRPr="00005B30">
        <w:rPr>
          <w:rFonts w:ascii="Times New Roman" w:hAnsi="Times New Roman" w:cs="Times New Roman"/>
          <w:sz w:val="20"/>
          <w:szCs w:val="20"/>
        </w:rPr>
        <w:t>ctualmente se encuentra pendiente desde</w:t>
      </w:r>
      <w:r w:rsidR="009B58A1">
        <w:rPr>
          <w:rFonts w:ascii="Times New Roman" w:hAnsi="Times New Roman" w:cs="Times New Roman"/>
          <w:sz w:val="20"/>
          <w:szCs w:val="20"/>
        </w:rPr>
        <w:t xml:space="preserve"> el</w:t>
      </w:r>
      <w:r w:rsidR="00E45BAC" w:rsidRPr="00005B30">
        <w:rPr>
          <w:rFonts w:ascii="Times New Roman" w:hAnsi="Times New Roman" w:cs="Times New Roman"/>
          <w:sz w:val="20"/>
          <w:szCs w:val="20"/>
        </w:rPr>
        <w:t xml:space="preserve"> año 2016 el debate del </w:t>
      </w:r>
      <w:r w:rsidR="00E45BAC" w:rsidRPr="00005B30">
        <w:rPr>
          <w:rFonts w:ascii="Times New Roman" w:hAnsi="Times New Roman" w:cs="Times New Roman"/>
          <w:bCs/>
          <w:sz w:val="20"/>
          <w:szCs w:val="20"/>
        </w:rPr>
        <w:t xml:space="preserve">Proyecto de Ley 790/2016-CR de Identidad de Género, </w:t>
      </w:r>
      <w:r w:rsidR="009B58A1">
        <w:rPr>
          <w:rFonts w:ascii="Times New Roman" w:hAnsi="Times New Roman" w:cs="Times New Roman"/>
          <w:bCs/>
          <w:sz w:val="20"/>
          <w:szCs w:val="20"/>
        </w:rPr>
        <w:t>en l</w:t>
      </w:r>
      <w:r w:rsidR="00E45BAC" w:rsidRPr="00005B30">
        <w:rPr>
          <w:rFonts w:ascii="Times New Roman" w:hAnsi="Times New Roman" w:cs="Times New Roman"/>
          <w:bCs/>
          <w:sz w:val="20"/>
          <w:szCs w:val="20"/>
        </w:rPr>
        <w:t xml:space="preserve">a Comisión de la Mujer y Familia y la Comisión de Constitución y Reglamento. Lamentablemente ninguna de las comisiones ha agendado el proyecto para debate. </w:t>
      </w:r>
    </w:p>
    <w:p w14:paraId="061951B0" w14:textId="77777777" w:rsidR="00E45BAC" w:rsidRPr="00005B30" w:rsidRDefault="00E45BAC" w:rsidP="00E45BAC">
      <w:pPr>
        <w:pStyle w:val="Prrafodelista"/>
        <w:tabs>
          <w:tab w:val="left" w:pos="142"/>
          <w:tab w:val="left" w:pos="426"/>
          <w:tab w:val="left" w:pos="567"/>
        </w:tabs>
        <w:spacing w:after="0" w:line="240" w:lineRule="auto"/>
        <w:ind w:left="0"/>
        <w:jc w:val="both"/>
        <w:rPr>
          <w:rFonts w:ascii="Times New Roman" w:hAnsi="Times New Roman" w:cs="Times New Roman"/>
          <w:sz w:val="20"/>
          <w:szCs w:val="20"/>
        </w:rPr>
      </w:pPr>
    </w:p>
    <w:p w14:paraId="145F8F1A" w14:textId="355D1FFF" w:rsidR="00E45BAC" w:rsidRPr="00005B30" w:rsidRDefault="009B58A1" w:rsidP="00E45BAC">
      <w:pPr>
        <w:pStyle w:val="Prrafodelista"/>
        <w:numPr>
          <w:ilvl w:val="0"/>
          <w:numId w:val="1"/>
        </w:numPr>
        <w:tabs>
          <w:tab w:val="left" w:pos="426"/>
          <w:tab w:val="left" w:pos="567"/>
        </w:tabs>
        <w:spacing w:after="0" w:line="240" w:lineRule="auto"/>
        <w:ind w:left="0" w:firstLine="0"/>
        <w:jc w:val="both"/>
        <w:rPr>
          <w:rFonts w:ascii="Times New Roman" w:hAnsi="Times New Roman" w:cs="Times New Roman"/>
          <w:b/>
          <w:sz w:val="20"/>
          <w:szCs w:val="20"/>
        </w:rPr>
      </w:pPr>
      <w:r>
        <w:rPr>
          <w:rFonts w:ascii="Times New Roman" w:hAnsi="Times New Roman" w:cs="Times New Roman"/>
          <w:sz w:val="20"/>
          <w:szCs w:val="20"/>
        </w:rPr>
        <w:lastRenderedPageBreak/>
        <w:t xml:space="preserve">El </w:t>
      </w:r>
      <w:r w:rsidR="00E45BAC" w:rsidRPr="00005B30">
        <w:rPr>
          <w:rFonts w:ascii="Times New Roman" w:hAnsi="Times New Roman" w:cs="Times New Roman"/>
          <w:sz w:val="20"/>
          <w:szCs w:val="20"/>
        </w:rPr>
        <w:t xml:space="preserve">reconocimiento los derechos de las personas </w:t>
      </w:r>
      <w:r w:rsidR="00E45BAC" w:rsidRPr="009B58A1">
        <w:rPr>
          <w:rFonts w:ascii="Times New Roman" w:hAnsi="Times New Roman" w:cs="Times New Roman"/>
          <w:sz w:val="20"/>
          <w:szCs w:val="20"/>
        </w:rPr>
        <w:t>trans “constituye una obligación en el marco de los tratados internacionales de los que el Perú es Estado Parte y que forman parte de nuestro derecho interno, así como de los organismos encargados de garantizar su cumplimiento</w:t>
      </w:r>
      <w:r w:rsidR="00E45BAC" w:rsidRPr="00005B30">
        <w:rPr>
          <w:rFonts w:ascii="Times New Roman" w:hAnsi="Times New Roman" w:cs="Times New Roman"/>
          <w:sz w:val="20"/>
          <w:szCs w:val="20"/>
        </w:rPr>
        <w:t>”.</w:t>
      </w:r>
      <w:r w:rsidR="002D7B1A">
        <w:rPr>
          <w:rStyle w:val="Refdenotaalfinal"/>
          <w:rFonts w:ascii="Times New Roman" w:hAnsi="Times New Roman" w:cs="Times New Roman"/>
          <w:lang w:val="es-419"/>
        </w:rPr>
        <w:endnoteReference w:id="36"/>
      </w:r>
      <w:r w:rsidR="00E45BAC" w:rsidRPr="00005B30">
        <w:rPr>
          <w:rFonts w:ascii="Times New Roman" w:hAnsi="Times New Roman" w:cs="Times New Roman"/>
          <w:sz w:val="20"/>
          <w:szCs w:val="20"/>
        </w:rPr>
        <w:t xml:space="preserve"> Así, el Perú también ha recibido recomendaciones de los órganos de los tratados del Sistema de Naciones Unidas. Es el caso del Comité de Derechos Humanos, que en el año 2013 recomendó al Estado peruano que plantee </w:t>
      </w:r>
      <w:r w:rsidR="00E45BAC" w:rsidRPr="00E96DFC">
        <w:rPr>
          <w:rFonts w:ascii="Times New Roman" w:hAnsi="Times New Roman" w:cs="Times New Roman"/>
          <w:i/>
          <w:iCs/>
          <w:sz w:val="20"/>
          <w:szCs w:val="20"/>
        </w:rPr>
        <w:t>"clara y oficialmente que no tolerará ninguna forma de estigmatización social de la homosexualidad, la bisexualidad o la transexualidad, ni la discriminación o la violencia contra personas por su orientación sexual o identidad de género"</w:t>
      </w:r>
      <w:r w:rsidR="002D7B1A">
        <w:rPr>
          <w:rFonts w:ascii="Times New Roman" w:hAnsi="Times New Roman" w:cs="Times New Roman"/>
          <w:i/>
          <w:iCs/>
          <w:sz w:val="20"/>
          <w:szCs w:val="20"/>
        </w:rPr>
        <w:t>.</w:t>
      </w:r>
      <w:r w:rsidR="002D7B1A" w:rsidRPr="00DD24EF">
        <w:rPr>
          <w:rStyle w:val="Refdenotaalfinal"/>
          <w:rFonts w:ascii="Times New Roman" w:hAnsi="Times New Roman" w:cs="Times New Roman"/>
          <w:lang w:val="es-419"/>
        </w:rPr>
        <w:endnoteReference w:id="37"/>
      </w:r>
      <w:r w:rsidR="00E45BAC" w:rsidRPr="00005B30">
        <w:rPr>
          <w:rFonts w:ascii="Times New Roman" w:hAnsi="Times New Roman" w:cs="Times New Roman"/>
          <w:sz w:val="20"/>
          <w:szCs w:val="20"/>
        </w:rPr>
        <w:t xml:space="preserve"> En un sentido similar se ha pronunciado el Comité contra la Tortura en el año 2013</w:t>
      </w:r>
      <w:r w:rsidR="002D7B1A">
        <w:rPr>
          <w:rStyle w:val="Refdenotaalfinal"/>
          <w:rFonts w:ascii="Times New Roman" w:hAnsi="Times New Roman" w:cs="Times New Roman"/>
          <w:lang w:val="es-419"/>
        </w:rPr>
        <w:endnoteReference w:id="38"/>
      </w:r>
      <w:r w:rsidR="002D7B1A">
        <w:rPr>
          <w:rFonts w:ascii="Times New Roman" w:hAnsi="Times New Roman" w:cs="Times New Roman"/>
          <w:sz w:val="20"/>
          <w:szCs w:val="20"/>
        </w:rPr>
        <w:t>.</w:t>
      </w:r>
    </w:p>
    <w:p w14:paraId="72B0903D" w14:textId="33E94BB9" w:rsidR="0073175F" w:rsidRDefault="0073175F" w:rsidP="0073175F">
      <w:pPr>
        <w:pStyle w:val="Prrafodelista"/>
        <w:tabs>
          <w:tab w:val="left" w:pos="142"/>
          <w:tab w:val="left" w:pos="426"/>
        </w:tabs>
        <w:autoSpaceDE w:val="0"/>
        <w:autoSpaceDN w:val="0"/>
        <w:adjustRightInd w:val="0"/>
        <w:spacing w:after="0" w:line="240" w:lineRule="auto"/>
        <w:ind w:left="0"/>
        <w:jc w:val="both"/>
        <w:rPr>
          <w:rFonts w:ascii="Times New Roman" w:hAnsi="Times New Roman" w:cs="Times New Roman"/>
          <w:sz w:val="20"/>
          <w:szCs w:val="20"/>
        </w:rPr>
      </w:pPr>
    </w:p>
    <w:p w14:paraId="6EF2CD04" w14:textId="77777777" w:rsidR="00F92C14" w:rsidRPr="00005B30" w:rsidRDefault="00F92C14" w:rsidP="00F92C14">
      <w:pPr>
        <w:pStyle w:val="Prrafodelista"/>
        <w:numPr>
          <w:ilvl w:val="0"/>
          <w:numId w:val="2"/>
        </w:numPr>
        <w:tabs>
          <w:tab w:val="left" w:pos="426"/>
        </w:tabs>
        <w:spacing w:after="0" w:line="240" w:lineRule="auto"/>
        <w:ind w:left="0" w:firstLine="0"/>
        <w:jc w:val="both"/>
        <w:rPr>
          <w:rFonts w:ascii="Times New Roman" w:hAnsi="Times New Roman" w:cs="Times New Roman"/>
          <w:b/>
          <w:sz w:val="20"/>
          <w:szCs w:val="20"/>
        </w:rPr>
      </w:pPr>
      <w:r w:rsidRPr="00005B30">
        <w:rPr>
          <w:rFonts w:ascii="Times New Roman" w:hAnsi="Times New Roman" w:cs="Times New Roman"/>
          <w:b/>
          <w:sz w:val="20"/>
          <w:szCs w:val="20"/>
        </w:rPr>
        <w:t xml:space="preserve">Preguntas: </w:t>
      </w:r>
    </w:p>
    <w:p w14:paraId="73B00790" w14:textId="77777777" w:rsidR="00F92C14" w:rsidRPr="00005B30" w:rsidRDefault="00F92C14" w:rsidP="00F92C14">
      <w:pPr>
        <w:tabs>
          <w:tab w:val="left" w:pos="567"/>
        </w:tabs>
        <w:spacing w:after="0" w:line="240" w:lineRule="auto"/>
        <w:contextualSpacing/>
        <w:jc w:val="both"/>
        <w:rPr>
          <w:rFonts w:ascii="Times New Roman" w:hAnsi="Times New Roman" w:cs="Times New Roman"/>
          <w:bCs/>
          <w:sz w:val="20"/>
          <w:szCs w:val="20"/>
        </w:rPr>
      </w:pPr>
    </w:p>
    <w:p w14:paraId="723D2A2D" w14:textId="3FB9BFC2" w:rsidR="00F92C14" w:rsidRDefault="00F92C14" w:rsidP="00F92C14">
      <w:pPr>
        <w:spacing w:after="0" w:line="240" w:lineRule="auto"/>
        <w:jc w:val="both"/>
        <w:rPr>
          <w:rFonts w:ascii="Times New Roman" w:eastAsia="Times New Roman" w:hAnsi="Times New Roman" w:cs="Times New Roman"/>
          <w:snapToGrid w:val="0"/>
          <w:sz w:val="20"/>
          <w:szCs w:val="20"/>
          <w:lang w:val="es-CO"/>
        </w:rPr>
      </w:pPr>
      <w:r>
        <w:rPr>
          <w:rFonts w:ascii="Times New Roman" w:eastAsia="Times New Roman" w:hAnsi="Times New Roman" w:cs="Times New Roman"/>
          <w:snapToGrid w:val="0"/>
          <w:sz w:val="20"/>
          <w:szCs w:val="20"/>
          <w:lang w:val="es-CO"/>
        </w:rPr>
        <w:t>Con base a</w:t>
      </w:r>
      <w:r w:rsidRPr="00BC74CD">
        <w:rPr>
          <w:rFonts w:ascii="Times New Roman" w:eastAsia="Times New Roman" w:hAnsi="Times New Roman" w:cs="Times New Roman"/>
          <w:snapToGrid w:val="0"/>
          <w:sz w:val="20"/>
          <w:szCs w:val="20"/>
          <w:lang w:val="es-CO"/>
        </w:rPr>
        <w:t xml:space="preserve"> la información aquí presentada</w:t>
      </w:r>
      <w:r>
        <w:rPr>
          <w:rFonts w:ascii="Times New Roman" w:eastAsia="Times New Roman" w:hAnsi="Times New Roman" w:cs="Times New Roman"/>
          <w:snapToGrid w:val="0"/>
          <w:sz w:val="20"/>
          <w:szCs w:val="20"/>
          <w:lang w:val="es-CO"/>
        </w:rPr>
        <w:t xml:space="preserve"> </w:t>
      </w:r>
      <w:r w:rsidRPr="00BC74CD">
        <w:rPr>
          <w:rFonts w:ascii="Times New Roman" w:eastAsia="Times New Roman" w:hAnsi="Times New Roman" w:cs="Times New Roman"/>
          <w:snapToGrid w:val="0"/>
          <w:sz w:val="20"/>
          <w:szCs w:val="20"/>
          <w:lang w:val="es-CO"/>
        </w:rPr>
        <w:t xml:space="preserve">PROMSEX solicita respetuosamente a este Comité que en el marco de la elaboración de las cuestiones previas para Perú tome en consideración lo anteriormente descrito </w:t>
      </w:r>
      <w:r w:rsidRPr="00D11E49">
        <w:rPr>
          <w:rFonts w:ascii="Times New Roman" w:eastAsia="Times New Roman" w:hAnsi="Times New Roman" w:cs="Times New Roman"/>
          <w:snapToGrid w:val="0"/>
          <w:sz w:val="20"/>
          <w:szCs w:val="20"/>
          <w:lang w:val="es-CO"/>
        </w:rPr>
        <w:t xml:space="preserve">y </w:t>
      </w:r>
      <w:r w:rsidRPr="00BC74CD">
        <w:rPr>
          <w:rFonts w:ascii="Times New Roman" w:eastAsia="Times New Roman" w:hAnsi="Times New Roman" w:cs="Times New Roman"/>
          <w:snapToGrid w:val="0"/>
          <w:sz w:val="20"/>
          <w:szCs w:val="20"/>
          <w:lang w:val="es-CO"/>
        </w:rPr>
        <w:t>le pregunte al Estado peruano</w:t>
      </w:r>
      <w:r w:rsidRPr="00D11E49">
        <w:rPr>
          <w:rFonts w:ascii="Times New Roman" w:eastAsia="Times New Roman" w:hAnsi="Times New Roman" w:cs="Times New Roman"/>
          <w:snapToGrid w:val="0"/>
          <w:sz w:val="20"/>
          <w:szCs w:val="20"/>
          <w:lang w:val="es-CO"/>
        </w:rPr>
        <w:t>:</w:t>
      </w:r>
      <w:r w:rsidRPr="00BC74CD">
        <w:rPr>
          <w:rFonts w:ascii="Times New Roman" w:eastAsia="Times New Roman" w:hAnsi="Times New Roman" w:cs="Times New Roman"/>
          <w:snapToGrid w:val="0"/>
          <w:sz w:val="20"/>
          <w:szCs w:val="20"/>
          <w:lang w:val="es-CO"/>
        </w:rPr>
        <w:t xml:space="preserve"> </w:t>
      </w:r>
    </w:p>
    <w:p w14:paraId="1B7EE2E9" w14:textId="77777777" w:rsidR="00F92C14" w:rsidRPr="00005B30" w:rsidRDefault="00F92C14" w:rsidP="00F92C14">
      <w:pPr>
        <w:tabs>
          <w:tab w:val="left" w:pos="567"/>
        </w:tabs>
        <w:spacing w:after="0" w:line="240" w:lineRule="auto"/>
        <w:contextualSpacing/>
        <w:jc w:val="both"/>
        <w:rPr>
          <w:rFonts w:ascii="Times New Roman" w:hAnsi="Times New Roman" w:cs="Times New Roman"/>
          <w:bCs/>
          <w:sz w:val="20"/>
          <w:szCs w:val="20"/>
        </w:rPr>
      </w:pPr>
    </w:p>
    <w:p w14:paraId="6DD3C4A1" w14:textId="069CFAFC" w:rsidR="00F92C14" w:rsidRPr="00005B30" w:rsidRDefault="00F92C14" w:rsidP="00F92C14">
      <w:pPr>
        <w:tabs>
          <w:tab w:val="left" w:pos="284"/>
          <w:tab w:val="left" w:pos="426"/>
        </w:tabs>
        <w:spacing w:after="0" w:line="240" w:lineRule="auto"/>
        <w:contextualSpacing/>
        <w:jc w:val="both"/>
        <w:rPr>
          <w:rFonts w:ascii="Times New Roman" w:hAnsi="Times New Roman" w:cs="Times New Roman"/>
          <w:sz w:val="20"/>
          <w:szCs w:val="20"/>
        </w:rPr>
      </w:pPr>
      <w:r w:rsidRPr="00005B30">
        <w:rPr>
          <w:rFonts w:ascii="Times New Roman" w:hAnsi="Times New Roman" w:cs="Times New Roman"/>
          <w:b/>
          <w:bCs/>
          <w:sz w:val="20"/>
          <w:szCs w:val="20"/>
          <w:lang w:val="es-ES"/>
        </w:rPr>
        <w:t xml:space="preserve">Discriminación y violencia institucional contra las personas LGBT y ausencia de mecanismos de atención, investigación y sanción </w:t>
      </w:r>
    </w:p>
    <w:p w14:paraId="702B5955" w14:textId="77777777" w:rsidR="00F92C14" w:rsidRPr="00005B30" w:rsidRDefault="00F92C14" w:rsidP="00F92C14">
      <w:pPr>
        <w:spacing w:after="0" w:line="240" w:lineRule="auto"/>
        <w:contextualSpacing/>
        <w:jc w:val="both"/>
        <w:rPr>
          <w:rFonts w:ascii="Times New Roman" w:hAnsi="Times New Roman" w:cs="Times New Roman"/>
          <w:bCs/>
          <w:sz w:val="20"/>
          <w:szCs w:val="20"/>
        </w:rPr>
      </w:pPr>
    </w:p>
    <w:p w14:paraId="4A0F1407" w14:textId="0471B5A7" w:rsidR="00F92C14" w:rsidRPr="00005B30" w:rsidRDefault="00F92C14" w:rsidP="00F92C14">
      <w:pPr>
        <w:pStyle w:val="Prrafodelista"/>
        <w:numPr>
          <w:ilvl w:val="0"/>
          <w:numId w:val="4"/>
        </w:numPr>
        <w:spacing w:after="0" w:line="240" w:lineRule="auto"/>
        <w:jc w:val="both"/>
        <w:rPr>
          <w:rFonts w:ascii="Times New Roman" w:hAnsi="Times New Roman" w:cs="Times New Roman"/>
          <w:bCs/>
          <w:sz w:val="20"/>
          <w:szCs w:val="20"/>
        </w:rPr>
      </w:pPr>
      <w:r w:rsidRPr="00005B30">
        <w:rPr>
          <w:rFonts w:ascii="Times New Roman" w:hAnsi="Times New Roman" w:cs="Times New Roman"/>
          <w:bCs/>
          <w:sz w:val="20"/>
          <w:szCs w:val="20"/>
        </w:rPr>
        <w:t>¿Cómo el Estado peruano garantiza la investigación y</w:t>
      </w:r>
      <w:bookmarkStart w:id="4" w:name="_Hlk40770592"/>
      <w:r w:rsidRPr="00005B30">
        <w:rPr>
          <w:rFonts w:ascii="Times New Roman" w:hAnsi="Times New Roman" w:cs="Times New Roman"/>
          <w:bCs/>
          <w:sz w:val="20"/>
          <w:szCs w:val="20"/>
        </w:rPr>
        <w:t xml:space="preserve"> sanción</w:t>
      </w:r>
      <w:r>
        <w:rPr>
          <w:rFonts w:ascii="Times New Roman" w:hAnsi="Times New Roman" w:cs="Times New Roman"/>
          <w:bCs/>
          <w:sz w:val="20"/>
          <w:szCs w:val="20"/>
        </w:rPr>
        <w:t xml:space="preserve"> </w:t>
      </w:r>
      <w:r w:rsidRPr="00005B30">
        <w:rPr>
          <w:rFonts w:ascii="Times New Roman" w:hAnsi="Times New Roman" w:cs="Times New Roman"/>
          <w:bCs/>
          <w:sz w:val="20"/>
          <w:szCs w:val="20"/>
        </w:rPr>
        <w:t>de los/a funcionarios que, en el ejercicio de la función pública, discriminen o violenten a las personas L</w:t>
      </w:r>
      <w:bookmarkEnd w:id="4"/>
      <w:r w:rsidRPr="00005B30">
        <w:rPr>
          <w:rFonts w:ascii="Times New Roman" w:hAnsi="Times New Roman" w:cs="Times New Roman"/>
          <w:bCs/>
          <w:sz w:val="20"/>
          <w:szCs w:val="20"/>
        </w:rPr>
        <w:t>GBT?</w:t>
      </w:r>
    </w:p>
    <w:p w14:paraId="3F803E03" w14:textId="53FA2B0F" w:rsidR="00F92C14" w:rsidRPr="00005B30" w:rsidRDefault="00F92C14" w:rsidP="00F92C14">
      <w:pPr>
        <w:pStyle w:val="Prrafodelista"/>
        <w:numPr>
          <w:ilvl w:val="0"/>
          <w:numId w:val="4"/>
        </w:numPr>
        <w:spacing w:after="0" w:line="240" w:lineRule="auto"/>
        <w:jc w:val="both"/>
        <w:rPr>
          <w:rFonts w:ascii="Times New Roman" w:hAnsi="Times New Roman" w:cs="Times New Roman"/>
          <w:bCs/>
          <w:sz w:val="20"/>
          <w:szCs w:val="20"/>
        </w:rPr>
      </w:pPr>
      <w:r w:rsidRPr="00005B30">
        <w:rPr>
          <w:rFonts w:ascii="Times New Roman" w:hAnsi="Times New Roman" w:cs="Times New Roman"/>
          <w:bCs/>
          <w:sz w:val="20"/>
          <w:szCs w:val="20"/>
        </w:rPr>
        <w:t>¿</w:t>
      </w:r>
      <w:bookmarkStart w:id="5" w:name="_Hlk40770707"/>
      <w:r w:rsidRPr="00005B30">
        <w:rPr>
          <w:rFonts w:ascii="Times New Roman" w:hAnsi="Times New Roman" w:cs="Times New Roman"/>
          <w:bCs/>
          <w:sz w:val="20"/>
          <w:szCs w:val="20"/>
        </w:rPr>
        <w:t>Cómo el Estado peruano garantiza que se sancione penalmente la violencia por crímenes de odio basada en orientación sexual e identidad de género</w:t>
      </w:r>
      <w:bookmarkEnd w:id="5"/>
      <w:r w:rsidRPr="00005B30">
        <w:rPr>
          <w:rFonts w:ascii="Times New Roman" w:hAnsi="Times New Roman" w:cs="Times New Roman"/>
          <w:bCs/>
          <w:sz w:val="20"/>
          <w:szCs w:val="20"/>
        </w:rPr>
        <w:t xml:space="preserve"> de acuerdo con el DL 1323, tomando en cuenta que no existen tipos penales vigentes en el código penal?</w:t>
      </w:r>
    </w:p>
    <w:p w14:paraId="35D7E164" w14:textId="77777777" w:rsidR="00F92C14" w:rsidRPr="00005B30" w:rsidRDefault="00F92C14" w:rsidP="00F92C14">
      <w:pPr>
        <w:pStyle w:val="Prrafodelista"/>
        <w:numPr>
          <w:ilvl w:val="0"/>
          <w:numId w:val="4"/>
        </w:numPr>
        <w:spacing w:after="0" w:line="240" w:lineRule="auto"/>
        <w:jc w:val="both"/>
        <w:rPr>
          <w:rFonts w:ascii="Times New Roman" w:hAnsi="Times New Roman" w:cs="Times New Roman"/>
          <w:bCs/>
          <w:sz w:val="20"/>
          <w:szCs w:val="20"/>
        </w:rPr>
      </w:pPr>
      <w:r w:rsidRPr="00005B30">
        <w:rPr>
          <w:rFonts w:ascii="Times New Roman" w:hAnsi="Times New Roman" w:cs="Times New Roman"/>
          <w:bCs/>
          <w:sz w:val="20"/>
          <w:szCs w:val="20"/>
        </w:rPr>
        <w:t>¿Cómo se garantizará que las personas LGBT no sean detenidas arbitrariamente, sin proporcionar información sobre su paradero y condición, así como para no criminalizarlas bajo la aplicación de normas generales y abstractas que protegen la “moral” o las “buenas costumbres”, cuya aplicación queda a discrecionalidad de operadores de justicia?</w:t>
      </w:r>
    </w:p>
    <w:p w14:paraId="35EE8D2C" w14:textId="6580DCB7" w:rsidR="00F92C14" w:rsidRPr="00005B30" w:rsidRDefault="00F92C14" w:rsidP="00F92C14">
      <w:pPr>
        <w:pStyle w:val="Prrafodelista"/>
        <w:numPr>
          <w:ilvl w:val="0"/>
          <w:numId w:val="4"/>
        </w:numPr>
        <w:spacing w:after="0" w:line="240" w:lineRule="auto"/>
        <w:jc w:val="both"/>
        <w:rPr>
          <w:rFonts w:ascii="Times New Roman" w:hAnsi="Times New Roman" w:cs="Times New Roman"/>
          <w:bCs/>
          <w:sz w:val="20"/>
          <w:szCs w:val="20"/>
        </w:rPr>
      </w:pPr>
      <w:r w:rsidRPr="00005B30">
        <w:rPr>
          <w:rFonts w:ascii="Times New Roman" w:hAnsi="Times New Roman" w:cs="Times New Roman"/>
          <w:bCs/>
          <w:sz w:val="20"/>
          <w:szCs w:val="20"/>
        </w:rPr>
        <w:t xml:space="preserve">¿Cómo se garantizará que </w:t>
      </w:r>
      <w:bookmarkStart w:id="6" w:name="_Hlk40770874"/>
      <w:r w:rsidRPr="00005B30">
        <w:rPr>
          <w:rFonts w:ascii="Times New Roman" w:hAnsi="Times New Roman" w:cs="Times New Roman"/>
          <w:bCs/>
          <w:sz w:val="20"/>
          <w:szCs w:val="20"/>
        </w:rPr>
        <w:t>l</w:t>
      </w:r>
      <w:bookmarkEnd w:id="6"/>
      <w:r>
        <w:rPr>
          <w:rFonts w:ascii="Times New Roman" w:hAnsi="Times New Roman" w:cs="Times New Roman"/>
          <w:bCs/>
          <w:sz w:val="20"/>
          <w:szCs w:val="20"/>
        </w:rPr>
        <w:t xml:space="preserve">os agentes del Estado </w:t>
      </w:r>
      <w:r w:rsidRPr="00005B30">
        <w:rPr>
          <w:rFonts w:ascii="Times New Roman" w:hAnsi="Times New Roman" w:cs="Times New Roman"/>
          <w:bCs/>
          <w:sz w:val="20"/>
          <w:szCs w:val="20"/>
        </w:rPr>
        <w:t>tengan un registro detallado de los actos de violencia y discriminación que sufren las personas LGBT?</w:t>
      </w:r>
    </w:p>
    <w:p w14:paraId="7EE0C161" w14:textId="0EF57464" w:rsidR="00F92C14" w:rsidRDefault="00F92C14" w:rsidP="00F92C14">
      <w:pPr>
        <w:tabs>
          <w:tab w:val="left" w:pos="567"/>
        </w:tabs>
        <w:spacing w:after="0" w:line="240" w:lineRule="auto"/>
        <w:contextualSpacing/>
        <w:jc w:val="both"/>
        <w:rPr>
          <w:rFonts w:ascii="Times New Roman" w:hAnsi="Times New Roman" w:cs="Times New Roman"/>
          <w:bCs/>
          <w:sz w:val="20"/>
          <w:szCs w:val="20"/>
        </w:rPr>
      </w:pPr>
    </w:p>
    <w:p w14:paraId="130EA64F" w14:textId="4F554E7E" w:rsidR="00F92C14" w:rsidRDefault="00F92C14" w:rsidP="00F92C14">
      <w:pPr>
        <w:spacing w:after="0" w:line="240" w:lineRule="auto"/>
        <w:contextualSpacing/>
        <w:jc w:val="both"/>
        <w:rPr>
          <w:rFonts w:ascii="Times New Roman" w:hAnsi="Times New Roman" w:cs="Times New Roman"/>
          <w:b/>
          <w:sz w:val="20"/>
          <w:szCs w:val="20"/>
        </w:rPr>
      </w:pPr>
      <w:r w:rsidRPr="00900A65">
        <w:rPr>
          <w:rFonts w:ascii="Times New Roman" w:hAnsi="Times New Roman" w:cs="Times New Roman"/>
          <w:b/>
          <w:sz w:val="20"/>
          <w:szCs w:val="20"/>
        </w:rPr>
        <w:t>Violencia en el ámbito familiar por orientación sexual e identidad de género y la falta de medidas para atender los casos de personas LGTBI frente a estos casos</w:t>
      </w:r>
    </w:p>
    <w:p w14:paraId="340EF326" w14:textId="77777777" w:rsidR="00F92C14" w:rsidRPr="00900A65" w:rsidRDefault="00F92C14" w:rsidP="00F92C14">
      <w:pPr>
        <w:spacing w:after="0" w:line="240" w:lineRule="auto"/>
        <w:contextualSpacing/>
        <w:jc w:val="both"/>
        <w:rPr>
          <w:rFonts w:ascii="Times New Roman" w:hAnsi="Times New Roman" w:cs="Times New Roman"/>
          <w:b/>
          <w:sz w:val="20"/>
          <w:szCs w:val="20"/>
        </w:rPr>
      </w:pPr>
    </w:p>
    <w:p w14:paraId="68AD69D8" w14:textId="2F19056C" w:rsidR="00F92C14" w:rsidRPr="00900A65" w:rsidRDefault="00F92C14" w:rsidP="00F92C14">
      <w:pPr>
        <w:numPr>
          <w:ilvl w:val="0"/>
          <w:numId w:val="5"/>
        </w:numPr>
        <w:spacing w:after="0" w:line="240" w:lineRule="auto"/>
        <w:ind w:left="714" w:hanging="357"/>
        <w:contextualSpacing/>
        <w:jc w:val="both"/>
        <w:rPr>
          <w:rFonts w:ascii="Times New Roman" w:hAnsi="Times New Roman" w:cs="Times New Roman"/>
          <w:bCs/>
          <w:sz w:val="20"/>
          <w:szCs w:val="20"/>
        </w:rPr>
      </w:pPr>
      <w:r w:rsidRPr="00900A65">
        <w:rPr>
          <w:rFonts w:ascii="Times New Roman" w:hAnsi="Times New Roman" w:cs="Times New Roman"/>
          <w:bCs/>
          <w:sz w:val="20"/>
          <w:szCs w:val="20"/>
        </w:rPr>
        <w:t xml:space="preserve">¿Qué medidas </w:t>
      </w:r>
      <w:r w:rsidR="006675E0" w:rsidRPr="00900A65">
        <w:rPr>
          <w:rFonts w:ascii="Times New Roman" w:hAnsi="Times New Roman" w:cs="Times New Roman"/>
          <w:bCs/>
          <w:sz w:val="20"/>
          <w:szCs w:val="20"/>
        </w:rPr>
        <w:t>está</w:t>
      </w:r>
      <w:r w:rsidRPr="00900A65">
        <w:rPr>
          <w:rFonts w:ascii="Times New Roman" w:hAnsi="Times New Roman" w:cs="Times New Roman"/>
          <w:bCs/>
          <w:sz w:val="20"/>
          <w:szCs w:val="20"/>
        </w:rPr>
        <w:t xml:space="preserve"> tomando el Estado para contar con información estadística sobre la violencia a la que son sometidas las personas LGBT dentro y fuera del entorno familiar, reconociendo que existe un subregistro de estas violencias?</w:t>
      </w:r>
    </w:p>
    <w:p w14:paraId="5FC26579" w14:textId="77777777" w:rsidR="00F92C14" w:rsidRPr="00900A65" w:rsidRDefault="00F92C14" w:rsidP="00F92C14">
      <w:pPr>
        <w:numPr>
          <w:ilvl w:val="0"/>
          <w:numId w:val="5"/>
        </w:numPr>
        <w:spacing w:after="0" w:line="240" w:lineRule="auto"/>
        <w:ind w:left="714" w:hanging="357"/>
        <w:contextualSpacing/>
        <w:jc w:val="both"/>
        <w:rPr>
          <w:rFonts w:ascii="Times New Roman" w:hAnsi="Times New Roman" w:cs="Times New Roman"/>
          <w:bCs/>
          <w:sz w:val="20"/>
          <w:szCs w:val="20"/>
        </w:rPr>
      </w:pPr>
      <w:r w:rsidRPr="00900A65">
        <w:rPr>
          <w:rFonts w:ascii="Times New Roman" w:hAnsi="Times New Roman" w:cs="Times New Roman"/>
          <w:bCs/>
          <w:sz w:val="20"/>
          <w:szCs w:val="20"/>
        </w:rPr>
        <w:t>¿Cómo el Estado peruano garantiza que las personas LGBT no sean sometidas a tratos crueles e inhumanos e incluso violencia sexual por parte de miembros de su familia, justificado como un acto corrector de su identidad u orientación sexual no heterosexual?</w:t>
      </w:r>
    </w:p>
    <w:p w14:paraId="797EDDC4" w14:textId="77777777" w:rsidR="00F92C14" w:rsidRPr="00005B30" w:rsidRDefault="00F92C14" w:rsidP="00F92C14">
      <w:pPr>
        <w:tabs>
          <w:tab w:val="left" w:pos="567"/>
        </w:tabs>
        <w:spacing w:after="0" w:line="240" w:lineRule="auto"/>
        <w:contextualSpacing/>
        <w:jc w:val="both"/>
        <w:rPr>
          <w:rFonts w:ascii="Times New Roman" w:hAnsi="Times New Roman" w:cs="Times New Roman"/>
          <w:bCs/>
          <w:sz w:val="20"/>
          <w:szCs w:val="20"/>
        </w:rPr>
      </w:pPr>
    </w:p>
    <w:p w14:paraId="0F67A339" w14:textId="77777777" w:rsidR="00F92C14" w:rsidRPr="00005B30" w:rsidRDefault="00F92C14" w:rsidP="00F92C14">
      <w:pPr>
        <w:tabs>
          <w:tab w:val="left" w:pos="426"/>
        </w:tabs>
        <w:spacing w:after="0" w:line="240" w:lineRule="auto"/>
        <w:contextualSpacing/>
        <w:jc w:val="both"/>
        <w:rPr>
          <w:rFonts w:ascii="Times New Roman" w:hAnsi="Times New Roman" w:cs="Times New Roman"/>
          <w:b/>
          <w:bCs/>
          <w:sz w:val="20"/>
          <w:szCs w:val="20"/>
        </w:rPr>
      </w:pPr>
      <w:r w:rsidRPr="00005B30">
        <w:rPr>
          <w:rFonts w:ascii="Times New Roman" w:hAnsi="Times New Roman" w:cs="Times New Roman"/>
          <w:b/>
          <w:sz w:val="20"/>
          <w:szCs w:val="20"/>
        </w:rPr>
        <w:t>Discriminación en la regulación civil de las relaciones de pareja no heterosexuales y la protección a sus familias</w:t>
      </w:r>
    </w:p>
    <w:p w14:paraId="15ED7449" w14:textId="77777777" w:rsidR="00F92C14" w:rsidRPr="00005B30" w:rsidRDefault="00F92C14" w:rsidP="00F92C14">
      <w:pPr>
        <w:tabs>
          <w:tab w:val="left" w:pos="426"/>
        </w:tabs>
        <w:spacing w:after="0" w:line="240" w:lineRule="auto"/>
        <w:contextualSpacing/>
        <w:jc w:val="both"/>
        <w:rPr>
          <w:rFonts w:ascii="Times New Roman" w:hAnsi="Times New Roman" w:cs="Times New Roman"/>
          <w:b/>
          <w:bCs/>
          <w:sz w:val="20"/>
          <w:szCs w:val="20"/>
        </w:rPr>
      </w:pPr>
    </w:p>
    <w:p w14:paraId="5192DF4C" w14:textId="63266F8A" w:rsidR="00F92C14" w:rsidRPr="00005B30" w:rsidRDefault="00F92C14" w:rsidP="00F92C14">
      <w:pPr>
        <w:numPr>
          <w:ilvl w:val="0"/>
          <w:numId w:val="5"/>
        </w:numPr>
        <w:spacing w:after="0" w:line="240" w:lineRule="auto"/>
        <w:ind w:left="714" w:hanging="357"/>
        <w:contextualSpacing/>
        <w:jc w:val="both"/>
        <w:rPr>
          <w:rFonts w:ascii="Times New Roman" w:hAnsi="Times New Roman" w:cs="Times New Roman"/>
          <w:sz w:val="20"/>
          <w:szCs w:val="20"/>
        </w:rPr>
      </w:pPr>
      <w:r w:rsidRPr="00005B30">
        <w:rPr>
          <w:rFonts w:ascii="Times New Roman" w:hAnsi="Times New Roman" w:cs="Times New Roman"/>
          <w:sz w:val="20"/>
          <w:szCs w:val="20"/>
        </w:rPr>
        <w:t xml:space="preserve">¿Por qué el Estado peruano no ha </w:t>
      </w:r>
      <w:r w:rsidR="00C24EA1">
        <w:rPr>
          <w:rFonts w:ascii="Times New Roman" w:hAnsi="Times New Roman" w:cs="Times New Roman"/>
          <w:sz w:val="20"/>
          <w:szCs w:val="20"/>
        </w:rPr>
        <w:t>aprobado los proyectos de ley de</w:t>
      </w:r>
      <w:r w:rsidRPr="00005B30">
        <w:rPr>
          <w:rFonts w:ascii="Times New Roman" w:hAnsi="Times New Roman" w:cs="Times New Roman"/>
          <w:sz w:val="20"/>
          <w:szCs w:val="20"/>
        </w:rPr>
        <w:t xml:space="preserve"> </w:t>
      </w:r>
      <w:r w:rsidR="00C24EA1">
        <w:rPr>
          <w:rFonts w:ascii="Times New Roman" w:hAnsi="Times New Roman" w:cs="Times New Roman"/>
          <w:sz w:val="20"/>
          <w:szCs w:val="20"/>
        </w:rPr>
        <w:t>M</w:t>
      </w:r>
      <w:r w:rsidRPr="00005B30">
        <w:rPr>
          <w:rFonts w:ascii="Times New Roman" w:hAnsi="Times New Roman" w:cs="Times New Roman"/>
          <w:sz w:val="20"/>
          <w:szCs w:val="20"/>
        </w:rPr>
        <w:t xml:space="preserve">atrimonio Igualitario o en su defecto la </w:t>
      </w:r>
      <w:r w:rsidR="00C24EA1">
        <w:rPr>
          <w:rFonts w:ascii="Times New Roman" w:hAnsi="Times New Roman" w:cs="Times New Roman"/>
          <w:sz w:val="20"/>
          <w:szCs w:val="20"/>
        </w:rPr>
        <w:t>U</w:t>
      </w:r>
      <w:r w:rsidRPr="00005B30">
        <w:rPr>
          <w:rFonts w:ascii="Times New Roman" w:hAnsi="Times New Roman" w:cs="Times New Roman"/>
          <w:sz w:val="20"/>
          <w:szCs w:val="20"/>
        </w:rPr>
        <w:t xml:space="preserve">nión </w:t>
      </w:r>
      <w:r w:rsidR="00C24EA1">
        <w:rPr>
          <w:rFonts w:ascii="Times New Roman" w:hAnsi="Times New Roman" w:cs="Times New Roman"/>
          <w:sz w:val="20"/>
          <w:szCs w:val="20"/>
        </w:rPr>
        <w:t>C</w:t>
      </w:r>
      <w:r w:rsidRPr="00005B30">
        <w:rPr>
          <w:rFonts w:ascii="Times New Roman" w:hAnsi="Times New Roman" w:cs="Times New Roman"/>
          <w:sz w:val="20"/>
          <w:szCs w:val="20"/>
        </w:rPr>
        <w:t>ivil?</w:t>
      </w:r>
    </w:p>
    <w:p w14:paraId="0A8D4B18" w14:textId="77777777" w:rsidR="00F92C14" w:rsidRPr="00005B30" w:rsidRDefault="00F92C14" w:rsidP="00F92C14">
      <w:pPr>
        <w:numPr>
          <w:ilvl w:val="0"/>
          <w:numId w:val="5"/>
        </w:numPr>
        <w:spacing w:after="0" w:line="240" w:lineRule="auto"/>
        <w:ind w:left="714" w:hanging="357"/>
        <w:contextualSpacing/>
        <w:jc w:val="both"/>
        <w:rPr>
          <w:rFonts w:ascii="Times New Roman" w:hAnsi="Times New Roman" w:cs="Times New Roman"/>
          <w:bCs/>
          <w:sz w:val="20"/>
          <w:szCs w:val="20"/>
        </w:rPr>
      </w:pPr>
      <w:r w:rsidRPr="00005B30">
        <w:rPr>
          <w:rFonts w:ascii="Times New Roman" w:hAnsi="Times New Roman" w:cs="Times New Roman"/>
          <w:bCs/>
          <w:sz w:val="20"/>
          <w:szCs w:val="20"/>
        </w:rPr>
        <w:t>¿Cómo el Estado peruano garantiza los derechos humanos fundamentales de los hijos e hijas de las personas no heterosexuales?</w:t>
      </w:r>
    </w:p>
    <w:p w14:paraId="69867B15" w14:textId="77777777" w:rsidR="00F92C14" w:rsidRPr="00005B30" w:rsidRDefault="00F92C14" w:rsidP="00F92C14">
      <w:pPr>
        <w:tabs>
          <w:tab w:val="left" w:pos="426"/>
        </w:tabs>
        <w:spacing w:after="0" w:line="240" w:lineRule="auto"/>
        <w:contextualSpacing/>
        <w:jc w:val="both"/>
        <w:rPr>
          <w:rFonts w:ascii="Times New Roman" w:hAnsi="Times New Roman" w:cs="Times New Roman"/>
          <w:b/>
          <w:bCs/>
          <w:sz w:val="20"/>
          <w:szCs w:val="20"/>
        </w:rPr>
      </w:pPr>
    </w:p>
    <w:p w14:paraId="672CCAA4" w14:textId="77777777" w:rsidR="00F92C14" w:rsidRPr="00005B30" w:rsidRDefault="00F92C14" w:rsidP="00F92C14">
      <w:pPr>
        <w:tabs>
          <w:tab w:val="left" w:pos="284"/>
          <w:tab w:val="left" w:pos="426"/>
        </w:tabs>
        <w:spacing w:after="0" w:line="240" w:lineRule="auto"/>
        <w:contextualSpacing/>
        <w:jc w:val="both"/>
        <w:rPr>
          <w:rFonts w:ascii="Times New Roman" w:hAnsi="Times New Roman" w:cs="Times New Roman"/>
          <w:b/>
          <w:sz w:val="20"/>
          <w:szCs w:val="20"/>
        </w:rPr>
      </w:pPr>
      <w:r w:rsidRPr="00005B30">
        <w:rPr>
          <w:rFonts w:ascii="Times New Roman" w:hAnsi="Times New Roman" w:cs="Times New Roman"/>
          <w:b/>
          <w:sz w:val="20"/>
          <w:szCs w:val="20"/>
        </w:rPr>
        <w:t xml:space="preserve">El derecho a la identidad de género de las personas trans y la falta de una regulación para garantizarla </w:t>
      </w:r>
    </w:p>
    <w:p w14:paraId="3C66D2A4" w14:textId="77777777" w:rsidR="00F92C14" w:rsidRPr="00005B30" w:rsidRDefault="00F92C14" w:rsidP="00F92C14">
      <w:pPr>
        <w:tabs>
          <w:tab w:val="left" w:pos="284"/>
          <w:tab w:val="left" w:pos="426"/>
        </w:tabs>
        <w:spacing w:after="0" w:line="240" w:lineRule="auto"/>
        <w:contextualSpacing/>
        <w:jc w:val="both"/>
        <w:rPr>
          <w:rFonts w:ascii="Times New Roman" w:hAnsi="Times New Roman" w:cs="Times New Roman"/>
          <w:b/>
          <w:sz w:val="20"/>
          <w:szCs w:val="20"/>
        </w:rPr>
      </w:pPr>
    </w:p>
    <w:p w14:paraId="4FABA7FB" w14:textId="2F19EC8E" w:rsidR="00F92C14" w:rsidRPr="00005B30" w:rsidRDefault="00F92C14" w:rsidP="00F92C14">
      <w:pPr>
        <w:numPr>
          <w:ilvl w:val="0"/>
          <w:numId w:val="6"/>
        </w:numPr>
        <w:spacing w:after="0" w:line="240" w:lineRule="auto"/>
        <w:ind w:left="714" w:hanging="357"/>
        <w:contextualSpacing/>
        <w:jc w:val="both"/>
        <w:rPr>
          <w:rFonts w:ascii="Times New Roman" w:hAnsi="Times New Roman" w:cs="Times New Roman"/>
          <w:bCs/>
          <w:sz w:val="20"/>
          <w:szCs w:val="20"/>
        </w:rPr>
      </w:pPr>
      <w:r w:rsidRPr="00005B30">
        <w:rPr>
          <w:rFonts w:ascii="Times New Roman" w:hAnsi="Times New Roman" w:cs="Times New Roman"/>
          <w:bCs/>
          <w:sz w:val="20"/>
          <w:szCs w:val="20"/>
        </w:rPr>
        <w:t>¿Qué medidas está tomando el Estado peruano para garantizar que las mujeres trans no sigan siendo sometidas a tratos crueles e inhumaos por parte de los funcionarios/as de la RENIEC, en el proceso de cambio de nombre en el Documento de identidad?</w:t>
      </w:r>
    </w:p>
    <w:p w14:paraId="07583030" w14:textId="1323289C" w:rsidR="00F92C14" w:rsidRPr="00005B30" w:rsidRDefault="00F92C14" w:rsidP="00F92C14">
      <w:pPr>
        <w:numPr>
          <w:ilvl w:val="0"/>
          <w:numId w:val="6"/>
        </w:numPr>
        <w:spacing w:after="0" w:line="240" w:lineRule="auto"/>
        <w:ind w:left="714" w:hanging="357"/>
        <w:contextualSpacing/>
        <w:jc w:val="both"/>
        <w:rPr>
          <w:rFonts w:ascii="Times New Roman" w:hAnsi="Times New Roman" w:cs="Times New Roman"/>
          <w:bCs/>
          <w:sz w:val="20"/>
          <w:szCs w:val="20"/>
        </w:rPr>
      </w:pPr>
      <w:r w:rsidRPr="00005B30">
        <w:rPr>
          <w:rFonts w:ascii="Times New Roman" w:hAnsi="Times New Roman" w:cs="Times New Roman"/>
          <w:sz w:val="20"/>
          <w:szCs w:val="20"/>
        </w:rPr>
        <w:t xml:space="preserve">¿Por qué el Estado peruano no ha </w:t>
      </w:r>
      <w:r w:rsidR="00C24EA1">
        <w:rPr>
          <w:rFonts w:ascii="Times New Roman" w:hAnsi="Times New Roman" w:cs="Times New Roman"/>
          <w:sz w:val="20"/>
          <w:szCs w:val="20"/>
        </w:rPr>
        <w:t xml:space="preserve">aprobado el proyecto de Ley de </w:t>
      </w:r>
      <w:r w:rsidRPr="00005B30">
        <w:rPr>
          <w:rFonts w:ascii="Times New Roman" w:hAnsi="Times New Roman" w:cs="Times New Roman"/>
          <w:sz w:val="20"/>
          <w:szCs w:val="20"/>
        </w:rPr>
        <w:t>identidad de Género?</w:t>
      </w:r>
    </w:p>
    <w:bookmarkEnd w:id="0"/>
    <w:p w14:paraId="5D3D5968" w14:textId="77777777" w:rsidR="00F92C14" w:rsidRPr="00005B30" w:rsidRDefault="00F92C14" w:rsidP="00F92C14">
      <w:pPr>
        <w:tabs>
          <w:tab w:val="left" w:pos="142"/>
          <w:tab w:val="left" w:pos="284"/>
          <w:tab w:val="left" w:pos="567"/>
        </w:tabs>
        <w:spacing w:after="0" w:line="240" w:lineRule="auto"/>
        <w:contextualSpacing/>
        <w:jc w:val="both"/>
        <w:rPr>
          <w:rFonts w:ascii="Times New Roman" w:hAnsi="Times New Roman" w:cs="Times New Roman"/>
          <w:sz w:val="20"/>
          <w:szCs w:val="20"/>
        </w:rPr>
      </w:pPr>
    </w:p>
    <w:p w14:paraId="159BDEEC" w14:textId="77777777" w:rsidR="00F92C14" w:rsidRPr="00005B30" w:rsidRDefault="00F92C14" w:rsidP="00F92C14">
      <w:pPr>
        <w:tabs>
          <w:tab w:val="left" w:pos="142"/>
          <w:tab w:val="left" w:pos="284"/>
          <w:tab w:val="left" w:pos="567"/>
        </w:tabs>
        <w:spacing w:after="0" w:line="240" w:lineRule="auto"/>
        <w:contextualSpacing/>
        <w:jc w:val="both"/>
        <w:rPr>
          <w:rFonts w:ascii="Times New Roman" w:hAnsi="Times New Roman" w:cs="Times New Roman"/>
          <w:sz w:val="20"/>
          <w:szCs w:val="20"/>
        </w:rPr>
      </w:pPr>
    </w:p>
    <w:p w14:paraId="58628088" w14:textId="4ABB1624" w:rsidR="0073175F" w:rsidRDefault="0073175F"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064D45FD" w14:textId="57BDEE62" w:rsidR="00BD1A29" w:rsidRDefault="008218F2" w:rsidP="0073175F">
      <w:pPr>
        <w:pStyle w:val="Prrafodelista"/>
        <w:tabs>
          <w:tab w:val="left" w:pos="142"/>
          <w:tab w:val="left" w:pos="4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Sin otro particular, </w:t>
      </w:r>
    </w:p>
    <w:p w14:paraId="2C6F068F" w14:textId="3A5B7770" w:rsidR="008218F2" w:rsidRDefault="008218F2"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780FED27" w14:textId="2FF20B8B" w:rsidR="00BD1A29" w:rsidRDefault="004D269C" w:rsidP="0073175F">
      <w:pPr>
        <w:pStyle w:val="Prrafodelista"/>
        <w:tabs>
          <w:tab w:val="left" w:pos="142"/>
          <w:tab w:val="left" w:pos="4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Atentamente</w:t>
      </w:r>
    </w:p>
    <w:p w14:paraId="4DA8D15A" w14:textId="77777777" w:rsidR="004D269C" w:rsidRDefault="004D269C"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68A0014F" w14:textId="5B3E722A" w:rsidR="004D269C" w:rsidRDefault="00F507AE" w:rsidP="0073175F">
      <w:pPr>
        <w:pStyle w:val="Prrafodelista"/>
        <w:tabs>
          <w:tab w:val="left" w:pos="142"/>
          <w:tab w:val="left" w:pos="426"/>
        </w:tabs>
        <w:spacing w:after="0" w:line="240" w:lineRule="auto"/>
        <w:ind w:left="0"/>
        <w:jc w:val="both"/>
        <w:rPr>
          <w:rFonts w:ascii="Times New Roman" w:hAnsi="Times New Roman" w:cs="Times New Roman"/>
          <w:sz w:val="20"/>
          <w:szCs w:val="20"/>
        </w:rPr>
      </w:pPr>
      <w:r w:rsidRPr="00F507AE">
        <w:rPr>
          <w:rFonts w:ascii="Times New Roman" w:hAnsi="Times New Roman" w:cs="Times New Roman"/>
          <w:noProof/>
          <w:sz w:val="20"/>
          <w:szCs w:val="20"/>
        </w:rPr>
        <w:drawing>
          <wp:inline distT="0" distB="0" distL="0" distR="0" wp14:anchorId="66D96122" wp14:editId="3982B585">
            <wp:extent cx="1495425" cy="755342"/>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111" cy="756699"/>
                    </a:xfrm>
                    <a:prstGeom prst="rect">
                      <a:avLst/>
                    </a:prstGeom>
                    <a:noFill/>
                    <a:ln>
                      <a:noFill/>
                    </a:ln>
                  </pic:spPr>
                </pic:pic>
              </a:graphicData>
            </a:graphic>
          </wp:inline>
        </w:drawing>
      </w:r>
    </w:p>
    <w:p w14:paraId="00A6CFAD" w14:textId="77777777" w:rsidR="00F507AE" w:rsidRDefault="00F507AE"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73B1A218" w14:textId="1EA0248C" w:rsidR="004D269C" w:rsidRDefault="004D269C" w:rsidP="0073175F">
      <w:pPr>
        <w:pStyle w:val="Prrafodelista"/>
        <w:tabs>
          <w:tab w:val="left" w:pos="142"/>
          <w:tab w:val="left" w:pos="4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Rossina Guerrero</w:t>
      </w:r>
    </w:p>
    <w:p w14:paraId="788F8CAD" w14:textId="026AC756" w:rsidR="004D269C" w:rsidRDefault="004D269C" w:rsidP="0073175F">
      <w:pPr>
        <w:pStyle w:val="Prrafodelista"/>
        <w:tabs>
          <w:tab w:val="left" w:pos="142"/>
          <w:tab w:val="left" w:pos="4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Directora de Programas </w:t>
      </w:r>
    </w:p>
    <w:p w14:paraId="556DF08E" w14:textId="652D24F2" w:rsidR="004D269C" w:rsidRDefault="00E833B8" w:rsidP="0073175F">
      <w:pPr>
        <w:pStyle w:val="Prrafodelista"/>
        <w:tabs>
          <w:tab w:val="left" w:pos="142"/>
          <w:tab w:val="left" w:pos="4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P</w:t>
      </w:r>
      <w:r w:rsidR="004D269C">
        <w:rPr>
          <w:rFonts w:ascii="Times New Roman" w:hAnsi="Times New Roman" w:cs="Times New Roman"/>
          <w:sz w:val="20"/>
          <w:szCs w:val="20"/>
        </w:rPr>
        <w:t>romsex</w:t>
      </w:r>
    </w:p>
    <w:p w14:paraId="0FEF452A" w14:textId="693D094A" w:rsidR="00E833B8" w:rsidRDefault="00E833B8"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659A3C17" w14:textId="68F9A0FF" w:rsidR="00E833B8" w:rsidRDefault="00E833B8" w:rsidP="0073175F">
      <w:pPr>
        <w:pStyle w:val="Prrafodelista"/>
        <w:tabs>
          <w:tab w:val="left" w:pos="142"/>
          <w:tab w:val="left" w:pos="426"/>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rossina@promdsr.org</w:t>
      </w:r>
    </w:p>
    <w:p w14:paraId="15CB6348" w14:textId="36AC6E1D" w:rsidR="00BD1A29" w:rsidRDefault="00BD1A29"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100927C7" w14:textId="4A47BD95" w:rsidR="00BD1A29" w:rsidRDefault="00BD1A29"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3D40D120" w14:textId="7AA383DA" w:rsidR="00BD1A29" w:rsidRDefault="00BD1A29"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6E062A1E" w14:textId="7D8ABEB3" w:rsidR="00BD1A29" w:rsidRDefault="00BD1A29"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4EC2D854" w14:textId="23F1FFBC" w:rsidR="00BD1A29" w:rsidRDefault="00BD1A29"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15EC9462" w14:textId="30053936" w:rsidR="00BD1A29" w:rsidRDefault="00BD1A29"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53709CA4" w14:textId="2236191F" w:rsidR="00BD1A29" w:rsidRDefault="00BD1A29"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106E7010" w14:textId="77777777" w:rsidR="00BD1A29" w:rsidRPr="00516944" w:rsidRDefault="00BD1A29" w:rsidP="0073175F">
      <w:pPr>
        <w:pStyle w:val="Prrafodelista"/>
        <w:tabs>
          <w:tab w:val="left" w:pos="142"/>
          <w:tab w:val="left" w:pos="426"/>
        </w:tabs>
        <w:spacing w:after="0" w:line="240" w:lineRule="auto"/>
        <w:ind w:left="0"/>
        <w:jc w:val="both"/>
        <w:rPr>
          <w:rFonts w:ascii="Times New Roman" w:hAnsi="Times New Roman" w:cs="Times New Roman"/>
          <w:sz w:val="20"/>
          <w:szCs w:val="20"/>
        </w:rPr>
      </w:pPr>
    </w:p>
    <w:p w14:paraId="4F8D175D" w14:textId="77777777" w:rsidR="00516944" w:rsidRPr="00516944" w:rsidRDefault="00516944" w:rsidP="00516944">
      <w:pPr>
        <w:pStyle w:val="Prrafodelista"/>
        <w:tabs>
          <w:tab w:val="left" w:pos="142"/>
          <w:tab w:val="left" w:pos="284"/>
        </w:tabs>
        <w:spacing w:after="0" w:line="240" w:lineRule="auto"/>
        <w:ind w:left="0"/>
        <w:jc w:val="both"/>
        <w:rPr>
          <w:rFonts w:ascii="Times New Roman" w:hAnsi="Times New Roman" w:cs="Times New Roman"/>
          <w:sz w:val="20"/>
          <w:szCs w:val="20"/>
        </w:rPr>
      </w:pPr>
    </w:p>
    <w:p w14:paraId="2DF8D96E" w14:textId="4212617C" w:rsidR="00516944" w:rsidRDefault="00516944" w:rsidP="00516944">
      <w:pPr>
        <w:spacing w:after="0" w:line="240" w:lineRule="auto"/>
        <w:jc w:val="both"/>
        <w:rPr>
          <w:sz w:val="20"/>
          <w:szCs w:val="20"/>
        </w:rPr>
      </w:pPr>
    </w:p>
    <w:p w14:paraId="5632B0FB" w14:textId="71BC6C57" w:rsidR="00C92568" w:rsidRDefault="00C92568" w:rsidP="00516944">
      <w:pPr>
        <w:spacing w:after="0" w:line="240" w:lineRule="auto"/>
        <w:jc w:val="both"/>
        <w:rPr>
          <w:sz w:val="20"/>
          <w:szCs w:val="20"/>
        </w:rPr>
      </w:pPr>
    </w:p>
    <w:p w14:paraId="649539AB" w14:textId="4BD23CE5" w:rsidR="00C92568" w:rsidRDefault="00C92568" w:rsidP="00516944">
      <w:pPr>
        <w:spacing w:after="0" w:line="240" w:lineRule="auto"/>
        <w:jc w:val="both"/>
        <w:rPr>
          <w:sz w:val="20"/>
          <w:szCs w:val="20"/>
        </w:rPr>
      </w:pPr>
    </w:p>
    <w:p w14:paraId="5B770CFC" w14:textId="0139F9B1" w:rsidR="00C92568" w:rsidRDefault="00C92568" w:rsidP="00516944">
      <w:pPr>
        <w:spacing w:after="0" w:line="240" w:lineRule="auto"/>
        <w:jc w:val="both"/>
        <w:rPr>
          <w:sz w:val="20"/>
          <w:szCs w:val="20"/>
        </w:rPr>
      </w:pPr>
    </w:p>
    <w:p w14:paraId="282C9C1F" w14:textId="526E1A2B" w:rsidR="00C92568" w:rsidRDefault="00C92568" w:rsidP="00516944">
      <w:pPr>
        <w:spacing w:after="0" w:line="240" w:lineRule="auto"/>
        <w:jc w:val="both"/>
        <w:rPr>
          <w:sz w:val="20"/>
          <w:szCs w:val="20"/>
        </w:rPr>
      </w:pPr>
    </w:p>
    <w:p w14:paraId="64EEBED8" w14:textId="361C571C" w:rsidR="00C92568" w:rsidRDefault="00C92568" w:rsidP="00516944">
      <w:pPr>
        <w:spacing w:after="0" w:line="240" w:lineRule="auto"/>
        <w:jc w:val="both"/>
        <w:rPr>
          <w:sz w:val="20"/>
          <w:szCs w:val="20"/>
        </w:rPr>
      </w:pPr>
    </w:p>
    <w:p w14:paraId="7846A390" w14:textId="1C1369BC" w:rsidR="00C92568" w:rsidRDefault="00C92568" w:rsidP="00516944">
      <w:pPr>
        <w:spacing w:after="0" w:line="240" w:lineRule="auto"/>
        <w:jc w:val="both"/>
        <w:rPr>
          <w:sz w:val="20"/>
          <w:szCs w:val="20"/>
        </w:rPr>
      </w:pPr>
    </w:p>
    <w:p w14:paraId="2FCC224C" w14:textId="454C7EA6" w:rsidR="00B31C3B" w:rsidRDefault="00B31C3B" w:rsidP="00516944">
      <w:pPr>
        <w:spacing w:after="0" w:line="240" w:lineRule="auto"/>
        <w:jc w:val="both"/>
        <w:rPr>
          <w:sz w:val="20"/>
          <w:szCs w:val="20"/>
        </w:rPr>
      </w:pPr>
    </w:p>
    <w:p w14:paraId="22A37342" w14:textId="7389735B" w:rsidR="00B31C3B" w:rsidRDefault="00B31C3B" w:rsidP="00516944">
      <w:pPr>
        <w:spacing w:after="0" w:line="240" w:lineRule="auto"/>
        <w:jc w:val="both"/>
        <w:rPr>
          <w:sz w:val="20"/>
          <w:szCs w:val="20"/>
        </w:rPr>
      </w:pPr>
    </w:p>
    <w:p w14:paraId="7B1B55BA" w14:textId="62B4C185" w:rsidR="00B31C3B" w:rsidRDefault="00B31C3B" w:rsidP="00516944">
      <w:pPr>
        <w:spacing w:after="0" w:line="240" w:lineRule="auto"/>
        <w:jc w:val="both"/>
        <w:rPr>
          <w:sz w:val="20"/>
          <w:szCs w:val="20"/>
        </w:rPr>
      </w:pPr>
    </w:p>
    <w:p w14:paraId="4B70FC62" w14:textId="488F191D" w:rsidR="00B31C3B" w:rsidRDefault="00B31C3B" w:rsidP="00516944">
      <w:pPr>
        <w:spacing w:after="0" w:line="240" w:lineRule="auto"/>
        <w:jc w:val="both"/>
        <w:rPr>
          <w:sz w:val="20"/>
          <w:szCs w:val="20"/>
        </w:rPr>
      </w:pPr>
    </w:p>
    <w:p w14:paraId="34C33B63" w14:textId="40CA143D" w:rsidR="00B31C3B" w:rsidRDefault="00B31C3B" w:rsidP="00516944">
      <w:pPr>
        <w:spacing w:after="0" w:line="240" w:lineRule="auto"/>
        <w:jc w:val="both"/>
        <w:rPr>
          <w:sz w:val="20"/>
          <w:szCs w:val="20"/>
        </w:rPr>
      </w:pPr>
    </w:p>
    <w:p w14:paraId="237748BF" w14:textId="322E8009" w:rsidR="00B31C3B" w:rsidRDefault="00B31C3B" w:rsidP="00516944">
      <w:pPr>
        <w:spacing w:after="0" w:line="240" w:lineRule="auto"/>
        <w:jc w:val="both"/>
        <w:rPr>
          <w:sz w:val="20"/>
          <w:szCs w:val="20"/>
        </w:rPr>
      </w:pPr>
    </w:p>
    <w:p w14:paraId="3CF29909" w14:textId="41E5B7D9" w:rsidR="00B31C3B" w:rsidRDefault="00B31C3B" w:rsidP="00516944">
      <w:pPr>
        <w:spacing w:after="0" w:line="240" w:lineRule="auto"/>
        <w:jc w:val="both"/>
        <w:rPr>
          <w:sz w:val="20"/>
          <w:szCs w:val="20"/>
        </w:rPr>
      </w:pPr>
    </w:p>
    <w:p w14:paraId="24CAE7E9" w14:textId="172F9496" w:rsidR="00B31C3B" w:rsidRDefault="00B31C3B" w:rsidP="00516944">
      <w:pPr>
        <w:spacing w:after="0" w:line="240" w:lineRule="auto"/>
        <w:jc w:val="both"/>
        <w:rPr>
          <w:sz w:val="20"/>
          <w:szCs w:val="20"/>
        </w:rPr>
      </w:pPr>
    </w:p>
    <w:p w14:paraId="17640826" w14:textId="7399627B" w:rsidR="00B31C3B" w:rsidRDefault="00B31C3B" w:rsidP="00516944">
      <w:pPr>
        <w:spacing w:after="0" w:line="240" w:lineRule="auto"/>
        <w:jc w:val="both"/>
        <w:rPr>
          <w:sz w:val="20"/>
          <w:szCs w:val="20"/>
        </w:rPr>
      </w:pPr>
    </w:p>
    <w:p w14:paraId="5E64103A" w14:textId="3FCF718A" w:rsidR="00B31C3B" w:rsidRDefault="00B31C3B" w:rsidP="00516944">
      <w:pPr>
        <w:spacing w:after="0" w:line="240" w:lineRule="auto"/>
        <w:jc w:val="both"/>
        <w:rPr>
          <w:sz w:val="20"/>
          <w:szCs w:val="20"/>
        </w:rPr>
      </w:pPr>
    </w:p>
    <w:p w14:paraId="14438743" w14:textId="7DA8DDCB" w:rsidR="00B31C3B" w:rsidRDefault="00B31C3B" w:rsidP="00516944">
      <w:pPr>
        <w:spacing w:after="0" w:line="240" w:lineRule="auto"/>
        <w:jc w:val="both"/>
        <w:rPr>
          <w:sz w:val="20"/>
          <w:szCs w:val="20"/>
        </w:rPr>
      </w:pPr>
    </w:p>
    <w:p w14:paraId="5251A763" w14:textId="218F5782" w:rsidR="00B31C3B" w:rsidRDefault="00B31C3B" w:rsidP="00516944">
      <w:pPr>
        <w:spacing w:after="0" w:line="240" w:lineRule="auto"/>
        <w:jc w:val="both"/>
        <w:rPr>
          <w:sz w:val="20"/>
          <w:szCs w:val="20"/>
        </w:rPr>
      </w:pPr>
    </w:p>
    <w:p w14:paraId="131CE834" w14:textId="5704BB6D" w:rsidR="00B31C3B" w:rsidRDefault="00B31C3B" w:rsidP="00516944">
      <w:pPr>
        <w:spacing w:after="0" w:line="240" w:lineRule="auto"/>
        <w:jc w:val="both"/>
        <w:rPr>
          <w:sz w:val="20"/>
          <w:szCs w:val="20"/>
        </w:rPr>
      </w:pPr>
    </w:p>
    <w:p w14:paraId="6B9728B3" w14:textId="21014EA5" w:rsidR="00B31C3B" w:rsidRDefault="00B31C3B" w:rsidP="00516944">
      <w:pPr>
        <w:spacing w:after="0" w:line="240" w:lineRule="auto"/>
        <w:jc w:val="both"/>
        <w:rPr>
          <w:sz w:val="20"/>
          <w:szCs w:val="20"/>
        </w:rPr>
      </w:pPr>
    </w:p>
    <w:p w14:paraId="4A32CDE8" w14:textId="1A121F71" w:rsidR="00B31C3B" w:rsidRDefault="00B31C3B" w:rsidP="00516944">
      <w:pPr>
        <w:spacing w:after="0" w:line="240" w:lineRule="auto"/>
        <w:jc w:val="both"/>
        <w:rPr>
          <w:sz w:val="20"/>
          <w:szCs w:val="20"/>
        </w:rPr>
      </w:pPr>
    </w:p>
    <w:p w14:paraId="444CE394" w14:textId="54C38114" w:rsidR="00B31C3B" w:rsidRDefault="00B31C3B" w:rsidP="00516944">
      <w:pPr>
        <w:spacing w:after="0" w:line="240" w:lineRule="auto"/>
        <w:jc w:val="both"/>
        <w:rPr>
          <w:sz w:val="20"/>
          <w:szCs w:val="20"/>
        </w:rPr>
      </w:pPr>
    </w:p>
    <w:p w14:paraId="6B3BADB6" w14:textId="6B8409F6" w:rsidR="00B31C3B" w:rsidRDefault="00B31C3B" w:rsidP="00516944">
      <w:pPr>
        <w:spacing w:after="0" w:line="240" w:lineRule="auto"/>
        <w:jc w:val="both"/>
        <w:rPr>
          <w:sz w:val="20"/>
          <w:szCs w:val="20"/>
        </w:rPr>
      </w:pPr>
    </w:p>
    <w:p w14:paraId="437F2378" w14:textId="7F808B3B" w:rsidR="00B31C3B" w:rsidRDefault="00B31C3B" w:rsidP="00516944">
      <w:pPr>
        <w:spacing w:after="0" w:line="240" w:lineRule="auto"/>
        <w:jc w:val="both"/>
        <w:rPr>
          <w:sz w:val="20"/>
          <w:szCs w:val="20"/>
        </w:rPr>
      </w:pPr>
    </w:p>
    <w:p w14:paraId="016A5212" w14:textId="66DB24EC" w:rsidR="00B31C3B" w:rsidRDefault="00B31C3B" w:rsidP="00516944">
      <w:pPr>
        <w:spacing w:after="0" w:line="240" w:lineRule="auto"/>
        <w:jc w:val="both"/>
        <w:rPr>
          <w:sz w:val="20"/>
          <w:szCs w:val="20"/>
        </w:rPr>
      </w:pPr>
    </w:p>
    <w:p w14:paraId="00246E45" w14:textId="10A707AA" w:rsidR="00B31C3B" w:rsidRDefault="00B31C3B" w:rsidP="00516944">
      <w:pPr>
        <w:spacing w:after="0" w:line="240" w:lineRule="auto"/>
        <w:jc w:val="both"/>
        <w:rPr>
          <w:sz w:val="20"/>
          <w:szCs w:val="20"/>
        </w:rPr>
      </w:pPr>
    </w:p>
    <w:p w14:paraId="72DDB9E1" w14:textId="77777777" w:rsidR="00B31C3B" w:rsidRDefault="00B31C3B" w:rsidP="00516944">
      <w:pPr>
        <w:spacing w:after="0" w:line="240" w:lineRule="auto"/>
        <w:jc w:val="both"/>
        <w:rPr>
          <w:sz w:val="20"/>
          <w:szCs w:val="20"/>
        </w:rPr>
      </w:pPr>
    </w:p>
    <w:p w14:paraId="4830DE42" w14:textId="15CB6D56" w:rsidR="00C92568" w:rsidRDefault="00C92568" w:rsidP="00516944">
      <w:pPr>
        <w:spacing w:after="0" w:line="240" w:lineRule="auto"/>
        <w:jc w:val="both"/>
        <w:rPr>
          <w:sz w:val="20"/>
          <w:szCs w:val="20"/>
        </w:rPr>
      </w:pPr>
    </w:p>
    <w:p w14:paraId="382E2A2D" w14:textId="5E14C116" w:rsidR="00C92568" w:rsidRDefault="00C92568" w:rsidP="00516944">
      <w:pPr>
        <w:spacing w:after="0" w:line="240" w:lineRule="auto"/>
        <w:jc w:val="both"/>
        <w:rPr>
          <w:sz w:val="20"/>
          <w:szCs w:val="20"/>
        </w:rPr>
      </w:pPr>
    </w:p>
    <w:p w14:paraId="5D40406F" w14:textId="04F4BB31" w:rsidR="00C92568" w:rsidRDefault="00C92568" w:rsidP="00516944">
      <w:pPr>
        <w:spacing w:after="0" w:line="240" w:lineRule="auto"/>
        <w:jc w:val="both"/>
        <w:rPr>
          <w:sz w:val="20"/>
          <w:szCs w:val="20"/>
        </w:rPr>
      </w:pPr>
    </w:p>
    <w:p w14:paraId="3BBE0A9D" w14:textId="77777777" w:rsidR="00C92568" w:rsidRPr="00516944" w:rsidRDefault="00C92568" w:rsidP="00516944">
      <w:pPr>
        <w:spacing w:after="0" w:line="240" w:lineRule="auto"/>
        <w:jc w:val="both"/>
        <w:rPr>
          <w:sz w:val="20"/>
          <w:szCs w:val="20"/>
        </w:rPr>
      </w:pPr>
    </w:p>
    <w:sectPr w:rsidR="00C92568" w:rsidRPr="0051694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0F670" w14:textId="77777777" w:rsidR="007D599A" w:rsidRDefault="007D599A" w:rsidP="00A00151">
      <w:pPr>
        <w:spacing w:after="0" w:line="240" w:lineRule="auto"/>
      </w:pPr>
      <w:r>
        <w:separator/>
      </w:r>
    </w:p>
  </w:endnote>
  <w:endnote w:type="continuationSeparator" w:id="0">
    <w:p w14:paraId="73599AAE" w14:textId="77777777" w:rsidR="007D599A" w:rsidRDefault="007D599A" w:rsidP="00A00151">
      <w:pPr>
        <w:spacing w:after="0" w:line="240" w:lineRule="auto"/>
      </w:pPr>
      <w:r>
        <w:continuationSeparator/>
      </w:r>
    </w:p>
  </w:endnote>
  <w:endnote w:id="1">
    <w:p w14:paraId="48DA1763" w14:textId="77777777" w:rsidR="005621E7" w:rsidRPr="00D12DA2" w:rsidRDefault="005621E7" w:rsidP="002D7B1A">
      <w:pPr>
        <w:pStyle w:val="Textonotaalfinal"/>
        <w:jc w:val="both"/>
        <w:rPr>
          <w:rFonts w:ascii="Times New Roman" w:hAnsi="Times New Roman" w:cs="Times New Roman"/>
          <w:sz w:val="16"/>
          <w:szCs w:val="16"/>
          <w:lang w:val="es-419"/>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419"/>
        </w:rPr>
        <w:t xml:space="preserve"> </w:t>
      </w:r>
      <w:r w:rsidRPr="00D12DA2">
        <w:rPr>
          <w:rFonts w:ascii="Times New Roman" w:eastAsia="Times New Roman" w:hAnsi="Times New Roman" w:cs="Times New Roman"/>
          <w:snapToGrid w:val="0"/>
          <w:sz w:val="16"/>
          <w:szCs w:val="16"/>
          <w:lang w:val="es-CO"/>
        </w:rPr>
        <w:t>PROMSEX es una organización no gubernamental feminista que contribuye a la vigencia de la integridad y dignidad de las personas en el acceso a la salud sexual y reproductiva y a que las personas decidan sobre su sexualidad y reproducción con autonomía, dignidad, justicia e igualdad</w:t>
      </w:r>
    </w:p>
  </w:endnote>
  <w:endnote w:id="2">
    <w:p w14:paraId="362C33B3" w14:textId="77777777" w:rsidR="001B1BE2" w:rsidRPr="00D12DA2" w:rsidRDefault="001B1BE2" w:rsidP="002D7B1A">
      <w:pPr>
        <w:pStyle w:val="Textonotaalfinal"/>
        <w:jc w:val="both"/>
        <w:rPr>
          <w:rFonts w:ascii="Times New Roman" w:hAnsi="Times New Roman" w:cs="Times New Roman"/>
          <w:sz w:val="16"/>
          <w:szCs w:val="16"/>
        </w:rPr>
      </w:pPr>
      <w:r w:rsidRPr="00D12DA2">
        <w:rPr>
          <w:rStyle w:val="Refdenotaalfinal"/>
          <w:rFonts w:ascii="Times New Roman" w:hAnsi="Times New Roman" w:cs="Times New Roman"/>
          <w:sz w:val="16"/>
          <w:szCs w:val="16"/>
        </w:rPr>
        <w:endnoteRef/>
      </w:r>
      <w:r w:rsidRPr="00D12DA2">
        <w:rPr>
          <w:rFonts w:ascii="Times New Roman" w:hAnsi="Times New Roman" w:cs="Times New Roman"/>
          <w:sz w:val="16"/>
          <w:szCs w:val="16"/>
          <w:lang w:val="es-419"/>
        </w:rPr>
        <w:t xml:space="preserve"> </w:t>
      </w:r>
      <w:r w:rsidRPr="00D12DA2">
        <w:rPr>
          <w:rFonts w:ascii="Times New Roman" w:hAnsi="Times New Roman" w:cs="Times New Roman"/>
          <w:sz w:val="16"/>
          <w:szCs w:val="16"/>
        </w:rPr>
        <w:t xml:space="preserve">CEDAW. </w:t>
      </w:r>
      <w:proofErr w:type="spellStart"/>
      <w:r w:rsidRPr="00D12DA2">
        <w:rPr>
          <w:rFonts w:ascii="Times New Roman" w:hAnsi="Times New Roman" w:cs="Times New Roman"/>
          <w:sz w:val="16"/>
          <w:szCs w:val="16"/>
        </w:rPr>
        <w:t>Recomendación</w:t>
      </w:r>
      <w:proofErr w:type="spellEnd"/>
      <w:r w:rsidRPr="00D12DA2">
        <w:rPr>
          <w:rFonts w:ascii="Times New Roman" w:hAnsi="Times New Roman" w:cs="Times New Roman"/>
          <w:sz w:val="16"/>
          <w:szCs w:val="16"/>
        </w:rPr>
        <w:t xml:space="preserve"> General 25. </w:t>
      </w:r>
      <w:proofErr w:type="spellStart"/>
      <w:r w:rsidRPr="00D12DA2">
        <w:rPr>
          <w:rFonts w:ascii="Times New Roman" w:hAnsi="Times New Roman" w:cs="Times New Roman"/>
          <w:sz w:val="16"/>
          <w:szCs w:val="16"/>
        </w:rPr>
        <w:t>Párrafo</w:t>
      </w:r>
      <w:proofErr w:type="spellEnd"/>
      <w:r w:rsidRPr="00D12DA2">
        <w:rPr>
          <w:rFonts w:ascii="Times New Roman" w:hAnsi="Times New Roman" w:cs="Times New Roman"/>
          <w:sz w:val="16"/>
          <w:szCs w:val="16"/>
        </w:rPr>
        <w:t xml:space="preserve"> 19. </w:t>
      </w:r>
    </w:p>
    <w:p w14:paraId="7D90F15B" w14:textId="5C6F5567" w:rsidR="001B1BE2" w:rsidRPr="00D12DA2" w:rsidRDefault="001B1BE2" w:rsidP="002D7B1A">
      <w:pPr>
        <w:pStyle w:val="Textonotaalfinal"/>
        <w:jc w:val="both"/>
        <w:rPr>
          <w:rFonts w:ascii="Times New Roman" w:hAnsi="Times New Roman" w:cs="Times New Roman"/>
          <w:sz w:val="16"/>
          <w:szCs w:val="16"/>
          <w:lang w:val="es-419"/>
        </w:rPr>
      </w:pPr>
      <w:r w:rsidRPr="00D12DA2">
        <w:rPr>
          <w:rFonts w:ascii="Times New Roman" w:hAnsi="Times New Roman" w:cs="Times New Roman"/>
          <w:sz w:val="16"/>
          <w:szCs w:val="16"/>
        </w:rPr>
        <w:t xml:space="preserve">URL </w:t>
      </w:r>
      <w:hyperlink r:id="rId1" w:anchor="GEN28" w:history="1">
        <w:r w:rsidRPr="00D12DA2">
          <w:rPr>
            <w:rStyle w:val="Hipervnculo"/>
            <w:rFonts w:ascii="Times New Roman" w:hAnsi="Times New Roman" w:cs="Times New Roman"/>
            <w:sz w:val="16"/>
            <w:szCs w:val="16"/>
          </w:rPr>
          <w:t>https://conf-dts1.unog.ch/1%20SPA/Tradutek/Derechos_hum_Base/CEDAW/00_4_obs_grales_CEDAW.html#GEN28</w:t>
        </w:r>
      </w:hyperlink>
    </w:p>
  </w:endnote>
  <w:endnote w:id="3">
    <w:p w14:paraId="295556AE" w14:textId="7CCCA6F2" w:rsidR="002116E0" w:rsidRPr="00D12DA2" w:rsidRDefault="002116E0" w:rsidP="002D7B1A">
      <w:pPr>
        <w:pStyle w:val="Textonotaalfinal"/>
        <w:jc w:val="both"/>
        <w:rPr>
          <w:rFonts w:ascii="Times New Roman" w:hAnsi="Times New Roman" w:cs="Times New Roman"/>
          <w:sz w:val="16"/>
          <w:szCs w:val="16"/>
          <w:lang w:val="es-CO"/>
        </w:rPr>
      </w:pPr>
      <w:r w:rsidRPr="00D12DA2">
        <w:rPr>
          <w:rStyle w:val="Refdenotaalfinal"/>
          <w:rFonts w:ascii="Times New Roman" w:hAnsi="Times New Roman" w:cs="Times New Roman"/>
          <w:sz w:val="16"/>
          <w:szCs w:val="16"/>
        </w:rPr>
        <w:endnoteRef/>
      </w:r>
      <w:r w:rsidRPr="00D12DA2">
        <w:rPr>
          <w:rFonts w:ascii="Times New Roman" w:hAnsi="Times New Roman" w:cs="Times New Roman"/>
          <w:sz w:val="16"/>
          <w:szCs w:val="16"/>
          <w:lang w:val="es-CO"/>
        </w:rPr>
        <w:t xml:space="preserve"> </w:t>
      </w:r>
      <w:proofErr w:type="spellStart"/>
      <w:r w:rsidRPr="00D12DA2">
        <w:rPr>
          <w:rFonts w:ascii="Times New Roman" w:hAnsi="Times New Roman" w:cs="Times New Roman"/>
          <w:sz w:val="16"/>
          <w:szCs w:val="16"/>
        </w:rPr>
        <w:t>Recomendación</w:t>
      </w:r>
      <w:proofErr w:type="spellEnd"/>
      <w:r w:rsidRPr="00D12DA2">
        <w:rPr>
          <w:rFonts w:ascii="Times New Roman" w:hAnsi="Times New Roman" w:cs="Times New Roman"/>
          <w:sz w:val="16"/>
          <w:szCs w:val="16"/>
        </w:rPr>
        <w:t xml:space="preserve"> General N° 25. </w:t>
      </w:r>
      <w:proofErr w:type="spellStart"/>
      <w:r w:rsidRPr="00D12DA2">
        <w:rPr>
          <w:rFonts w:ascii="Times New Roman" w:hAnsi="Times New Roman" w:cs="Times New Roman"/>
          <w:sz w:val="16"/>
          <w:szCs w:val="16"/>
        </w:rPr>
        <w:t>Medidas</w:t>
      </w:r>
      <w:proofErr w:type="spellEnd"/>
      <w:r w:rsidRPr="00D12DA2">
        <w:rPr>
          <w:rFonts w:ascii="Times New Roman" w:hAnsi="Times New Roman" w:cs="Times New Roman"/>
          <w:sz w:val="16"/>
          <w:szCs w:val="16"/>
        </w:rPr>
        <w:t xml:space="preserve"> </w:t>
      </w:r>
      <w:proofErr w:type="spellStart"/>
      <w:r w:rsidRPr="00D12DA2">
        <w:rPr>
          <w:rFonts w:ascii="Times New Roman" w:hAnsi="Times New Roman" w:cs="Times New Roman"/>
          <w:sz w:val="16"/>
          <w:szCs w:val="16"/>
        </w:rPr>
        <w:t>especiales</w:t>
      </w:r>
      <w:proofErr w:type="spellEnd"/>
      <w:r w:rsidRPr="00D12DA2">
        <w:rPr>
          <w:rFonts w:ascii="Times New Roman" w:hAnsi="Times New Roman" w:cs="Times New Roman"/>
          <w:sz w:val="16"/>
          <w:szCs w:val="16"/>
        </w:rPr>
        <w:t xml:space="preserve"> de </w:t>
      </w:r>
      <w:proofErr w:type="spellStart"/>
      <w:r w:rsidRPr="00D12DA2">
        <w:rPr>
          <w:rFonts w:ascii="Times New Roman" w:hAnsi="Times New Roman" w:cs="Times New Roman"/>
          <w:sz w:val="16"/>
          <w:szCs w:val="16"/>
        </w:rPr>
        <w:t>carácter</w:t>
      </w:r>
      <w:proofErr w:type="spellEnd"/>
      <w:r w:rsidRPr="00D12DA2">
        <w:rPr>
          <w:rFonts w:ascii="Times New Roman" w:hAnsi="Times New Roman" w:cs="Times New Roman"/>
          <w:sz w:val="16"/>
          <w:szCs w:val="16"/>
        </w:rPr>
        <w:t xml:space="preserve"> temporal (</w:t>
      </w:r>
      <w:proofErr w:type="spellStart"/>
      <w:r w:rsidRPr="00D12DA2">
        <w:rPr>
          <w:rFonts w:ascii="Times New Roman" w:hAnsi="Times New Roman" w:cs="Times New Roman"/>
          <w:sz w:val="16"/>
          <w:szCs w:val="16"/>
        </w:rPr>
        <w:t>párrafo</w:t>
      </w:r>
      <w:proofErr w:type="spellEnd"/>
      <w:r w:rsidRPr="00D12DA2">
        <w:rPr>
          <w:rFonts w:ascii="Times New Roman" w:hAnsi="Times New Roman" w:cs="Times New Roman"/>
          <w:sz w:val="16"/>
          <w:szCs w:val="16"/>
        </w:rPr>
        <w:t xml:space="preserve"> 1 del </w:t>
      </w:r>
      <w:proofErr w:type="spellStart"/>
      <w:r w:rsidRPr="00D12DA2">
        <w:rPr>
          <w:rFonts w:ascii="Times New Roman" w:hAnsi="Times New Roman" w:cs="Times New Roman"/>
          <w:sz w:val="16"/>
          <w:szCs w:val="16"/>
        </w:rPr>
        <w:t>artículo</w:t>
      </w:r>
      <w:proofErr w:type="spellEnd"/>
      <w:r w:rsidRPr="00D12DA2">
        <w:rPr>
          <w:rFonts w:ascii="Times New Roman" w:hAnsi="Times New Roman" w:cs="Times New Roman"/>
          <w:sz w:val="16"/>
          <w:szCs w:val="16"/>
        </w:rPr>
        <w:t xml:space="preserve"> 4 de la </w:t>
      </w:r>
      <w:proofErr w:type="spellStart"/>
      <w:r w:rsidRPr="00D12DA2">
        <w:rPr>
          <w:rFonts w:ascii="Times New Roman" w:hAnsi="Times New Roman" w:cs="Times New Roman"/>
          <w:sz w:val="16"/>
          <w:szCs w:val="16"/>
        </w:rPr>
        <w:t>Convención</w:t>
      </w:r>
      <w:proofErr w:type="spellEnd"/>
      <w:r w:rsidRPr="00D12DA2">
        <w:rPr>
          <w:rFonts w:ascii="Times New Roman" w:hAnsi="Times New Roman" w:cs="Times New Roman"/>
          <w:sz w:val="16"/>
          <w:szCs w:val="16"/>
        </w:rPr>
        <w:t xml:space="preserve">), </w:t>
      </w:r>
      <w:proofErr w:type="spellStart"/>
      <w:r w:rsidRPr="00D12DA2">
        <w:rPr>
          <w:rFonts w:ascii="Times New Roman" w:hAnsi="Times New Roman" w:cs="Times New Roman"/>
          <w:sz w:val="16"/>
          <w:szCs w:val="16"/>
        </w:rPr>
        <w:t>párrafo</w:t>
      </w:r>
      <w:proofErr w:type="spellEnd"/>
      <w:r w:rsidRPr="00D12DA2">
        <w:rPr>
          <w:rFonts w:ascii="Times New Roman" w:hAnsi="Times New Roman" w:cs="Times New Roman"/>
          <w:sz w:val="16"/>
          <w:szCs w:val="16"/>
        </w:rPr>
        <w:t xml:space="preserve"> 3.</w:t>
      </w:r>
    </w:p>
  </w:endnote>
  <w:endnote w:id="4">
    <w:p w14:paraId="79E24FBF" w14:textId="682ABA97" w:rsidR="00D12DA2" w:rsidRPr="002D7B1A" w:rsidRDefault="00D12DA2" w:rsidP="00D12DA2">
      <w:pPr>
        <w:pStyle w:val="Prrafodelista"/>
        <w:tabs>
          <w:tab w:val="left" w:pos="142"/>
          <w:tab w:val="left" w:pos="284"/>
        </w:tabs>
        <w:spacing w:after="0" w:line="240" w:lineRule="auto"/>
        <w:ind w:left="0"/>
        <w:jc w:val="both"/>
        <w:rPr>
          <w:rFonts w:ascii="Times New Roman" w:hAnsi="Times New Roman" w:cs="Times New Roman"/>
          <w:sz w:val="16"/>
          <w:szCs w:val="16"/>
          <w:lang w:val="es-CO"/>
        </w:rPr>
      </w:pPr>
      <w:r w:rsidRPr="00D12DA2">
        <w:rPr>
          <w:rStyle w:val="Refdenotaalfinal"/>
          <w:rFonts w:ascii="Times New Roman" w:hAnsi="Times New Roman" w:cs="Times New Roman"/>
          <w:sz w:val="16"/>
          <w:szCs w:val="16"/>
        </w:rPr>
        <w:endnoteRef/>
      </w:r>
      <w:r w:rsidRPr="00D12DA2">
        <w:rPr>
          <w:rFonts w:ascii="Times New Roman" w:hAnsi="Times New Roman" w:cs="Times New Roman"/>
          <w:sz w:val="16"/>
          <w:szCs w:val="16"/>
          <w:lang w:val="es-CO"/>
        </w:rPr>
        <w:t xml:space="preserve"> </w:t>
      </w:r>
      <w:r w:rsidRPr="00D12DA2">
        <w:rPr>
          <w:rFonts w:ascii="Times New Roman" w:hAnsi="Times New Roman" w:cs="Times New Roman"/>
          <w:bCs/>
          <w:sz w:val="16"/>
          <w:szCs w:val="16"/>
        </w:rPr>
        <w:t>En el Perú, las personas LGTB sufren agresiones que pueden configurar tortura y otros tratos o penas crueles, inhumanos o degradantes</w:t>
      </w:r>
      <w:r w:rsidRPr="00D12DA2">
        <w:rPr>
          <w:rStyle w:val="Refdenotaalfinal"/>
          <w:rFonts w:ascii="Times New Roman" w:eastAsia="Times New Roman" w:hAnsi="Times New Roman" w:cs="Times New Roman"/>
          <w:snapToGrid w:val="0"/>
          <w:sz w:val="16"/>
          <w:szCs w:val="16"/>
          <w:lang w:val="es-CO"/>
        </w:rPr>
        <w:endnoteRef/>
      </w:r>
      <w:r w:rsidRPr="00D12DA2">
        <w:rPr>
          <w:rFonts w:ascii="Times New Roman" w:hAnsi="Times New Roman" w:cs="Times New Roman"/>
          <w:bCs/>
          <w:sz w:val="16"/>
          <w:szCs w:val="16"/>
        </w:rPr>
        <w:t xml:space="preserve"> por su orientación sexual e identidad de género no hegemónica, impulsados por el deseo de castigar a quienes se considera que desafían las normas de género</w:t>
      </w:r>
      <w:r w:rsidRPr="00D12DA2">
        <w:rPr>
          <w:rStyle w:val="Refdenotaalfinal"/>
          <w:rFonts w:ascii="Times New Roman" w:eastAsia="Times New Roman" w:hAnsi="Times New Roman" w:cs="Times New Roman"/>
          <w:snapToGrid w:val="0"/>
          <w:sz w:val="16"/>
          <w:szCs w:val="16"/>
          <w:lang w:val="es-CO"/>
        </w:rPr>
        <w:endnoteRef/>
      </w:r>
      <w:r w:rsidRPr="00D12DA2">
        <w:rPr>
          <w:rFonts w:ascii="Times New Roman" w:hAnsi="Times New Roman" w:cs="Times New Roman"/>
          <w:bCs/>
          <w:sz w:val="16"/>
          <w:szCs w:val="16"/>
        </w:rPr>
        <w:t xml:space="preserve"> y merma los derechos humanos de las personas LGBTI. En ese sentido, el Relator Especial sobre el tema indicó que “tanto la indiferencia como la inacción del Estado constituyen una forma de incitación y/o de autorización de tales hechos”, siendo uno de los principales agresores contra las personas LGBT</w:t>
      </w:r>
      <w:r>
        <w:rPr>
          <w:rFonts w:ascii="Times New Roman" w:hAnsi="Times New Roman" w:cs="Times New Roman"/>
          <w:bCs/>
          <w:sz w:val="16"/>
          <w:szCs w:val="16"/>
        </w:rPr>
        <w:t>I</w:t>
      </w:r>
      <w:r w:rsidRPr="00D12DA2">
        <w:rPr>
          <w:rFonts w:ascii="Times New Roman" w:hAnsi="Times New Roman" w:cs="Times New Roman"/>
          <w:bCs/>
          <w:sz w:val="16"/>
          <w:szCs w:val="16"/>
        </w:rPr>
        <w:t>.</w:t>
      </w:r>
      <w:r>
        <w:rPr>
          <w:rFonts w:ascii="Times New Roman" w:hAnsi="Times New Roman" w:cs="Times New Roman"/>
          <w:bCs/>
          <w:sz w:val="16"/>
          <w:szCs w:val="16"/>
        </w:rPr>
        <w:t xml:space="preserve"> </w:t>
      </w:r>
      <w:r w:rsidRPr="00D12DA2">
        <w:rPr>
          <w:rFonts w:ascii="Times New Roman" w:hAnsi="Times New Roman" w:cs="Times New Roman"/>
          <w:sz w:val="16"/>
          <w:szCs w:val="16"/>
        </w:rPr>
        <w:t>Informe del Relator Especial sobre la Cuestión de la Tortura y otros Tratos o Penas Crueles, Inhumanos</w:t>
      </w:r>
      <w:r w:rsidRPr="002D7B1A">
        <w:rPr>
          <w:rFonts w:ascii="Times New Roman" w:hAnsi="Times New Roman" w:cs="Times New Roman"/>
          <w:sz w:val="16"/>
          <w:szCs w:val="16"/>
        </w:rPr>
        <w:t xml:space="preserve"> o Degradantes. A/56/156. ONU. 3 de julio del 2001, pp. 17.</w:t>
      </w:r>
    </w:p>
  </w:endnote>
  <w:endnote w:id="5">
    <w:p w14:paraId="1F52B639" w14:textId="21190E99" w:rsidR="0046591A" w:rsidRPr="002D7B1A" w:rsidRDefault="0046591A"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A </w:t>
      </w:r>
      <w:proofErr w:type="spellStart"/>
      <w:r w:rsidRPr="002D7B1A">
        <w:rPr>
          <w:rFonts w:ascii="Times New Roman" w:hAnsi="Times New Roman" w:cs="Times New Roman"/>
          <w:sz w:val="16"/>
          <w:szCs w:val="16"/>
        </w:rPr>
        <w:t>esto</w:t>
      </w:r>
      <w:proofErr w:type="spellEnd"/>
      <w:r w:rsidRPr="002D7B1A">
        <w:rPr>
          <w:rFonts w:ascii="Times New Roman" w:hAnsi="Times New Roman" w:cs="Times New Roman"/>
          <w:sz w:val="16"/>
          <w:szCs w:val="16"/>
        </w:rPr>
        <w:t xml:space="preserve"> se </w:t>
      </w:r>
      <w:proofErr w:type="spellStart"/>
      <w:r w:rsidRPr="002D7B1A">
        <w:rPr>
          <w:rFonts w:ascii="Times New Roman" w:hAnsi="Times New Roman" w:cs="Times New Roman"/>
          <w:sz w:val="16"/>
          <w:szCs w:val="16"/>
        </w:rPr>
        <w:t>suma</w:t>
      </w:r>
      <w:proofErr w:type="spellEnd"/>
      <w:r w:rsidRPr="002D7B1A">
        <w:rPr>
          <w:rFonts w:ascii="Times New Roman" w:hAnsi="Times New Roman" w:cs="Times New Roman"/>
          <w:sz w:val="16"/>
          <w:szCs w:val="16"/>
        </w:rPr>
        <w:t xml:space="preserve">, la </w:t>
      </w:r>
      <w:proofErr w:type="spellStart"/>
      <w:r w:rsidRPr="002D7B1A">
        <w:rPr>
          <w:rFonts w:ascii="Times New Roman" w:hAnsi="Times New Roman" w:cs="Times New Roman"/>
          <w:sz w:val="16"/>
          <w:szCs w:val="16"/>
        </w:rPr>
        <w:t>necesidad</w:t>
      </w:r>
      <w:proofErr w:type="spellEnd"/>
      <w:r w:rsidRPr="002D7B1A">
        <w:rPr>
          <w:rFonts w:ascii="Times New Roman" w:hAnsi="Times New Roman" w:cs="Times New Roman"/>
          <w:sz w:val="16"/>
          <w:szCs w:val="16"/>
        </w:rPr>
        <w:t xml:space="preserve"> de </w:t>
      </w:r>
      <w:proofErr w:type="spellStart"/>
      <w:r w:rsidRPr="002D7B1A">
        <w:rPr>
          <w:rFonts w:ascii="Times New Roman" w:hAnsi="Times New Roman" w:cs="Times New Roman"/>
          <w:sz w:val="16"/>
          <w:szCs w:val="16"/>
        </w:rPr>
        <w:t>sancionar</w:t>
      </w:r>
      <w:proofErr w:type="spellEnd"/>
      <w:r w:rsidRPr="002D7B1A">
        <w:rPr>
          <w:rFonts w:ascii="Times New Roman" w:hAnsi="Times New Roman" w:cs="Times New Roman"/>
          <w:sz w:val="16"/>
          <w:szCs w:val="16"/>
        </w:rPr>
        <w:t xml:space="preserve"> los </w:t>
      </w:r>
      <w:proofErr w:type="spellStart"/>
      <w:r w:rsidRPr="002D7B1A">
        <w:rPr>
          <w:rFonts w:ascii="Times New Roman" w:hAnsi="Times New Roman" w:cs="Times New Roman"/>
          <w:sz w:val="16"/>
          <w:szCs w:val="16"/>
        </w:rPr>
        <w:t>discursos</w:t>
      </w:r>
      <w:proofErr w:type="spellEnd"/>
      <w:r w:rsidRPr="002D7B1A">
        <w:rPr>
          <w:rFonts w:ascii="Times New Roman" w:hAnsi="Times New Roman" w:cs="Times New Roman"/>
          <w:sz w:val="16"/>
          <w:szCs w:val="16"/>
        </w:rPr>
        <w:t xml:space="preserve"> de </w:t>
      </w:r>
      <w:proofErr w:type="spellStart"/>
      <w:r w:rsidRPr="002D7B1A">
        <w:rPr>
          <w:rFonts w:ascii="Times New Roman" w:hAnsi="Times New Roman" w:cs="Times New Roman"/>
          <w:sz w:val="16"/>
          <w:szCs w:val="16"/>
        </w:rPr>
        <w:t>odio</w:t>
      </w:r>
      <w:proofErr w:type="spellEnd"/>
      <w:r w:rsidRPr="002D7B1A">
        <w:rPr>
          <w:rFonts w:ascii="Times New Roman" w:hAnsi="Times New Roman" w:cs="Times New Roman"/>
          <w:sz w:val="16"/>
          <w:szCs w:val="16"/>
        </w:rPr>
        <w:t xml:space="preserve"> y </w:t>
      </w:r>
      <w:proofErr w:type="spellStart"/>
      <w:r w:rsidRPr="002D7B1A">
        <w:rPr>
          <w:rFonts w:ascii="Times New Roman" w:hAnsi="Times New Roman" w:cs="Times New Roman"/>
          <w:sz w:val="16"/>
          <w:szCs w:val="16"/>
        </w:rPr>
        <w:t>modificar</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nuestro</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ordenamiento</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jurídico</w:t>
      </w:r>
      <w:proofErr w:type="spellEnd"/>
      <w:r w:rsidRPr="002D7B1A">
        <w:rPr>
          <w:rFonts w:ascii="Times New Roman" w:hAnsi="Times New Roman" w:cs="Times New Roman"/>
          <w:sz w:val="16"/>
          <w:szCs w:val="16"/>
        </w:rPr>
        <w:t xml:space="preserve"> a fin de </w:t>
      </w:r>
      <w:proofErr w:type="spellStart"/>
      <w:r w:rsidRPr="002D7B1A">
        <w:rPr>
          <w:rFonts w:ascii="Times New Roman" w:hAnsi="Times New Roman" w:cs="Times New Roman"/>
          <w:sz w:val="16"/>
          <w:szCs w:val="16"/>
        </w:rPr>
        <w:t>brindar</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protección</w:t>
      </w:r>
      <w:proofErr w:type="spellEnd"/>
      <w:r w:rsidRPr="002D7B1A">
        <w:rPr>
          <w:rFonts w:ascii="Times New Roman" w:hAnsi="Times New Roman" w:cs="Times New Roman"/>
          <w:sz w:val="16"/>
          <w:szCs w:val="16"/>
        </w:rPr>
        <w:t xml:space="preserve"> a las personas LGBTI.</w:t>
      </w:r>
    </w:p>
  </w:endnote>
  <w:endnote w:id="6">
    <w:p w14:paraId="230FABE2" w14:textId="6DD8DE32" w:rsidR="0046591A" w:rsidRPr="002D7B1A" w:rsidRDefault="0046591A"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Promsex y Red Peruana. Informe </w:t>
      </w:r>
      <w:proofErr w:type="spellStart"/>
      <w:r w:rsidRPr="002D7B1A">
        <w:rPr>
          <w:rFonts w:ascii="Times New Roman" w:hAnsi="Times New Roman" w:cs="Times New Roman"/>
          <w:sz w:val="16"/>
          <w:szCs w:val="16"/>
        </w:rPr>
        <w:t>Anual</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sobre</w:t>
      </w:r>
      <w:proofErr w:type="spellEnd"/>
      <w:r w:rsidRPr="002D7B1A">
        <w:rPr>
          <w:rFonts w:ascii="Times New Roman" w:hAnsi="Times New Roman" w:cs="Times New Roman"/>
          <w:sz w:val="16"/>
          <w:szCs w:val="16"/>
        </w:rPr>
        <w:t xml:space="preserve"> derechos </w:t>
      </w:r>
      <w:proofErr w:type="spellStart"/>
      <w:r w:rsidRPr="002D7B1A">
        <w:rPr>
          <w:rFonts w:ascii="Times New Roman" w:hAnsi="Times New Roman" w:cs="Times New Roman"/>
          <w:sz w:val="16"/>
          <w:szCs w:val="16"/>
        </w:rPr>
        <w:t>humanos</w:t>
      </w:r>
      <w:proofErr w:type="spellEnd"/>
      <w:r w:rsidRPr="002D7B1A">
        <w:rPr>
          <w:rFonts w:ascii="Times New Roman" w:hAnsi="Times New Roman" w:cs="Times New Roman"/>
          <w:sz w:val="16"/>
          <w:szCs w:val="16"/>
        </w:rPr>
        <w:t xml:space="preserve"> de personas trans, </w:t>
      </w:r>
      <w:proofErr w:type="spellStart"/>
      <w:r w:rsidRPr="002D7B1A">
        <w:rPr>
          <w:rFonts w:ascii="Times New Roman" w:hAnsi="Times New Roman" w:cs="Times New Roman"/>
          <w:sz w:val="16"/>
          <w:szCs w:val="16"/>
        </w:rPr>
        <w:t>lesbianas</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gais</w:t>
      </w:r>
      <w:proofErr w:type="spellEnd"/>
      <w:r w:rsidRPr="002D7B1A">
        <w:rPr>
          <w:rFonts w:ascii="Times New Roman" w:hAnsi="Times New Roman" w:cs="Times New Roman"/>
          <w:sz w:val="16"/>
          <w:szCs w:val="16"/>
        </w:rPr>
        <w:t xml:space="preserve"> y bisexuals </w:t>
      </w:r>
      <w:proofErr w:type="spellStart"/>
      <w:r w:rsidRPr="002D7B1A">
        <w:rPr>
          <w:rFonts w:ascii="Times New Roman" w:hAnsi="Times New Roman" w:cs="Times New Roman"/>
          <w:sz w:val="16"/>
          <w:szCs w:val="16"/>
        </w:rPr>
        <w:t>en</w:t>
      </w:r>
      <w:proofErr w:type="spellEnd"/>
      <w:r w:rsidRPr="002D7B1A">
        <w:rPr>
          <w:rFonts w:ascii="Times New Roman" w:hAnsi="Times New Roman" w:cs="Times New Roman"/>
          <w:sz w:val="16"/>
          <w:szCs w:val="16"/>
        </w:rPr>
        <w:t xml:space="preserve"> el Perú 2014-2015, mayo de 2015, </w:t>
      </w:r>
      <w:proofErr w:type="spellStart"/>
      <w:r w:rsidRPr="002D7B1A">
        <w:rPr>
          <w:rFonts w:ascii="Times New Roman" w:hAnsi="Times New Roman" w:cs="Times New Roman"/>
          <w:sz w:val="16"/>
          <w:szCs w:val="16"/>
        </w:rPr>
        <w:t>pág</w:t>
      </w:r>
      <w:proofErr w:type="spellEnd"/>
      <w:r w:rsidRPr="002D7B1A">
        <w:rPr>
          <w:rFonts w:ascii="Times New Roman" w:hAnsi="Times New Roman" w:cs="Times New Roman"/>
          <w:sz w:val="16"/>
          <w:szCs w:val="16"/>
        </w:rPr>
        <w:t>. 31.</w:t>
      </w:r>
    </w:p>
  </w:endnote>
  <w:endnote w:id="7">
    <w:p w14:paraId="71FA8942" w14:textId="1BA12F89" w:rsidR="0046591A" w:rsidRPr="002D7B1A" w:rsidRDefault="0046591A" w:rsidP="002D7B1A">
      <w:pPr>
        <w:pStyle w:val="Textonotaalfinal"/>
        <w:jc w:val="both"/>
        <w:rPr>
          <w:rFonts w:ascii="Times New Roman" w:hAnsi="Times New Roman" w:cs="Times New Roman"/>
          <w:i/>
          <w:iCs/>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Promsex y Red Peruana TLGB (2016),</w:t>
      </w:r>
      <w:hyperlink r:id="rId2" w:history="1">
        <w:r w:rsidRPr="002D7B1A">
          <w:rPr>
            <w:rStyle w:val="Hipervnculo"/>
            <w:rFonts w:ascii="Times New Roman" w:hAnsi="Times New Roman" w:cs="Times New Roman"/>
            <w:sz w:val="16"/>
            <w:szCs w:val="16"/>
          </w:rPr>
          <w:t xml:space="preserve">Informe </w:t>
        </w:r>
        <w:proofErr w:type="spellStart"/>
        <w:r w:rsidRPr="002D7B1A">
          <w:rPr>
            <w:rStyle w:val="Hipervnculo"/>
            <w:rFonts w:ascii="Times New Roman" w:hAnsi="Times New Roman" w:cs="Times New Roman"/>
            <w:sz w:val="16"/>
            <w:szCs w:val="16"/>
          </w:rPr>
          <w:t>Anual</w:t>
        </w:r>
        <w:proofErr w:type="spellEnd"/>
        <w:r w:rsidRPr="002D7B1A">
          <w:rPr>
            <w:rStyle w:val="Hipervnculo"/>
            <w:rFonts w:ascii="Times New Roman" w:hAnsi="Times New Roman" w:cs="Times New Roman"/>
            <w:sz w:val="16"/>
            <w:szCs w:val="16"/>
          </w:rPr>
          <w:t xml:space="preserve"> </w:t>
        </w:r>
        <w:proofErr w:type="spellStart"/>
        <w:r w:rsidRPr="002D7B1A">
          <w:rPr>
            <w:rStyle w:val="Hipervnculo"/>
            <w:rFonts w:ascii="Times New Roman" w:hAnsi="Times New Roman" w:cs="Times New Roman"/>
            <w:sz w:val="16"/>
            <w:szCs w:val="16"/>
          </w:rPr>
          <w:t>sobre</w:t>
        </w:r>
        <w:proofErr w:type="spellEnd"/>
        <w:r w:rsidRPr="002D7B1A">
          <w:rPr>
            <w:rStyle w:val="Hipervnculo"/>
            <w:rFonts w:ascii="Times New Roman" w:hAnsi="Times New Roman" w:cs="Times New Roman"/>
            <w:sz w:val="16"/>
            <w:szCs w:val="16"/>
          </w:rPr>
          <w:t xml:space="preserve"> Derechos Humanos de las personas TLGB </w:t>
        </w:r>
        <w:proofErr w:type="spellStart"/>
        <w:r w:rsidRPr="002D7B1A">
          <w:rPr>
            <w:rStyle w:val="Hipervnculo"/>
            <w:rFonts w:ascii="Times New Roman" w:hAnsi="Times New Roman" w:cs="Times New Roman"/>
            <w:sz w:val="16"/>
            <w:szCs w:val="16"/>
          </w:rPr>
          <w:t>en</w:t>
        </w:r>
        <w:proofErr w:type="spellEnd"/>
        <w:r w:rsidRPr="002D7B1A">
          <w:rPr>
            <w:rStyle w:val="Hipervnculo"/>
            <w:rFonts w:ascii="Times New Roman" w:hAnsi="Times New Roman" w:cs="Times New Roman"/>
            <w:sz w:val="16"/>
            <w:szCs w:val="16"/>
          </w:rPr>
          <w:t xml:space="preserve"> el Perú 2015 – 2016</w:t>
        </w:r>
      </w:hyperlink>
      <w:r w:rsidRPr="002D7B1A">
        <w:rPr>
          <w:rFonts w:ascii="Times New Roman" w:hAnsi="Times New Roman" w:cs="Times New Roman"/>
          <w:sz w:val="16"/>
          <w:szCs w:val="16"/>
        </w:rPr>
        <w:t>.</w:t>
      </w:r>
    </w:p>
  </w:endnote>
  <w:endnote w:id="8">
    <w:p w14:paraId="370A3C20" w14:textId="61096018" w:rsidR="0046591A" w:rsidRPr="002D7B1A" w:rsidRDefault="0046591A"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Informe </w:t>
      </w:r>
      <w:proofErr w:type="spellStart"/>
      <w:r w:rsidRPr="002D7B1A">
        <w:rPr>
          <w:rFonts w:ascii="Times New Roman" w:hAnsi="Times New Roman" w:cs="Times New Roman"/>
          <w:sz w:val="16"/>
          <w:szCs w:val="16"/>
        </w:rPr>
        <w:t>Anual</w:t>
      </w:r>
      <w:proofErr w:type="spellEnd"/>
      <w:r w:rsidRPr="002D7B1A">
        <w:rPr>
          <w:rFonts w:ascii="Times New Roman" w:hAnsi="Times New Roman" w:cs="Times New Roman"/>
          <w:sz w:val="16"/>
          <w:szCs w:val="16"/>
        </w:rPr>
        <w:t xml:space="preserve"> del </w:t>
      </w:r>
      <w:proofErr w:type="spellStart"/>
      <w:r w:rsidRPr="002D7B1A">
        <w:rPr>
          <w:rFonts w:ascii="Times New Roman" w:hAnsi="Times New Roman" w:cs="Times New Roman"/>
          <w:sz w:val="16"/>
          <w:szCs w:val="16"/>
        </w:rPr>
        <w:t>Observatorio</w:t>
      </w:r>
      <w:proofErr w:type="spellEnd"/>
      <w:r w:rsidRPr="002D7B1A">
        <w:rPr>
          <w:rFonts w:ascii="Times New Roman" w:hAnsi="Times New Roman" w:cs="Times New Roman"/>
          <w:sz w:val="16"/>
          <w:szCs w:val="16"/>
        </w:rPr>
        <w:t xml:space="preserve"> de Derechos LGBT 2017/2018. Cayetano Heredia, </w:t>
      </w:r>
      <w:proofErr w:type="spellStart"/>
      <w:r w:rsidRPr="002D7B1A">
        <w:rPr>
          <w:rFonts w:ascii="Times New Roman" w:hAnsi="Times New Roman" w:cs="Times New Roman"/>
          <w:sz w:val="16"/>
          <w:szCs w:val="16"/>
        </w:rPr>
        <w:t>septiembre</w:t>
      </w:r>
      <w:proofErr w:type="spellEnd"/>
      <w:r w:rsidRPr="002D7B1A">
        <w:rPr>
          <w:rFonts w:ascii="Times New Roman" w:hAnsi="Times New Roman" w:cs="Times New Roman"/>
          <w:sz w:val="16"/>
          <w:szCs w:val="16"/>
        </w:rPr>
        <w:t xml:space="preserve"> de 2016, </w:t>
      </w:r>
      <w:proofErr w:type="spellStart"/>
      <w:r w:rsidRPr="002D7B1A">
        <w:rPr>
          <w:rFonts w:ascii="Times New Roman" w:hAnsi="Times New Roman" w:cs="Times New Roman"/>
          <w:sz w:val="16"/>
          <w:szCs w:val="16"/>
        </w:rPr>
        <w:t>pág</w:t>
      </w:r>
      <w:proofErr w:type="spellEnd"/>
      <w:r w:rsidRPr="002D7B1A">
        <w:rPr>
          <w:rFonts w:ascii="Times New Roman" w:hAnsi="Times New Roman" w:cs="Times New Roman"/>
          <w:sz w:val="16"/>
          <w:szCs w:val="16"/>
        </w:rPr>
        <w:t>. 54.</w:t>
      </w:r>
    </w:p>
  </w:endnote>
  <w:endnote w:id="9">
    <w:p w14:paraId="153D185E" w14:textId="77777777" w:rsidR="000A78EB" w:rsidRPr="002D7B1A" w:rsidRDefault="000A78EB" w:rsidP="000A78EB">
      <w:pPr>
        <w:pStyle w:val="Textonotaalfinal"/>
        <w:contextualSpacing/>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S</w:t>
      </w:r>
      <w:r w:rsidRPr="002D7B1A">
        <w:rPr>
          <w:rFonts w:ascii="Times New Roman" w:hAnsi="Times New Roman" w:cs="Times New Roman"/>
          <w:bCs/>
          <w:sz w:val="16"/>
          <w:szCs w:val="16"/>
        </w:rPr>
        <w:t xml:space="preserve">e </w:t>
      </w:r>
      <w:proofErr w:type="spellStart"/>
      <w:r w:rsidRPr="002D7B1A">
        <w:rPr>
          <w:rFonts w:ascii="Times New Roman" w:hAnsi="Times New Roman" w:cs="Times New Roman"/>
          <w:bCs/>
          <w:sz w:val="16"/>
          <w:szCs w:val="16"/>
        </w:rPr>
        <w:t>cuenta</w:t>
      </w:r>
      <w:proofErr w:type="spellEnd"/>
      <w:r w:rsidRPr="002D7B1A">
        <w:rPr>
          <w:rFonts w:ascii="Times New Roman" w:hAnsi="Times New Roman" w:cs="Times New Roman"/>
          <w:bCs/>
          <w:sz w:val="16"/>
          <w:szCs w:val="16"/>
        </w:rPr>
        <w:t xml:space="preserve"> con el Plan Nacional de Derechos Humanos 2018-2021 que </w:t>
      </w:r>
      <w:proofErr w:type="spellStart"/>
      <w:r w:rsidRPr="002D7B1A">
        <w:rPr>
          <w:rFonts w:ascii="Times New Roman" w:hAnsi="Times New Roman" w:cs="Times New Roman"/>
          <w:bCs/>
          <w:sz w:val="16"/>
          <w:szCs w:val="16"/>
        </w:rPr>
        <w:t>incorpora</w:t>
      </w:r>
      <w:proofErr w:type="spellEnd"/>
      <w:r w:rsidRPr="002D7B1A">
        <w:rPr>
          <w:rFonts w:ascii="Times New Roman" w:hAnsi="Times New Roman" w:cs="Times New Roman"/>
          <w:bCs/>
          <w:sz w:val="16"/>
          <w:szCs w:val="16"/>
        </w:rPr>
        <w:t xml:space="preserve"> a la </w:t>
      </w:r>
      <w:r w:rsidRPr="002D7B1A">
        <w:rPr>
          <w:rFonts w:ascii="Times New Roman" w:hAnsi="Times New Roman" w:cs="Times New Roman"/>
          <w:sz w:val="16"/>
          <w:szCs w:val="16"/>
        </w:rPr>
        <w:t xml:space="preserve">población LGBT </w:t>
      </w:r>
      <w:proofErr w:type="spellStart"/>
      <w:r w:rsidRPr="002D7B1A">
        <w:rPr>
          <w:rFonts w:ascii="Times New Roman" w:hAnsi="Times New Roman" w:cs="Times New Roman"/>
          <w:sz w:val="16"/>
          <w:szCs w:val="16"/>
        </w:rPr>
        <w:t>como</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grupo</w:t>
      </w:r>
      <w:proofErr w:type="spellEnd"/>
      <w:r w:rsidRPr="002D7B1A">
        <w:rPr>
          <w:rFonts w:ascii="Times New Roman" w:hAnsi="Times New Roman" w:cs="Times New Roman"/>
          <w:sz w:val="16"/>
          <w:szCs w:val="16"/>
        </w:rPr>
        <w:t xml:space="preserve"> de especial </w:t>
      </w:r>
      <w:proofErr w:type="spellStart"/>
      <w:r w:rsidRPr="002D7B1A">
        <w:rPr>
          <w:rFonts w:ascii="Times New Roman" w:hAnsi="Times New Roman" w:cs="Times New Roman"/>
          <w:sz w:val="16"/>
          <w:szCs w:val="16"/>
        </w:rPr>
        <w:t>protección</w:t>
      </w:r>
      <w:proofErr w:type="spellEnd"/>
      <w:r w:rsidRPr="002D7B1A">
        <w:rPr>
          <w:rFonts w:ascii="Times New Roman" w:hAnsi="Times New Roman" w:cs="Times New Roman"/>
          <w:sz w:val="16"/>
          <w:szCs w:val="16"/>
        </w:rPr>
        <w:t xml:space="preserve">, sin embargo, no </w:t>
      </w:r>
      <w:proofErr w:type="spellStart"/>
      <w:r w:rsidRPr="002D7B1A">
        <w:rPr>
          <w:rFonts w:ascii="Times New Roman" w:hAnsi="Times New Roman" w:cs="Times New Roman"/>
          <w:sz w:val="16"/>
          <w:szCs w:val="16"/>
        </w:rPr>
        <w:t>cuenta</w:t>
      </w:r>
      <w:proofErr w:type="spellEnd"/>
      <w:r w:rsidRPr="002D7B1A">
        <w:rPr>
          <w:rFonts w:ascii="Times New Roman" w:hAnsi="Times New Roman" w:cs="Times New Roman"/>
          <w:sz w:val="16"/>
          <w:szCs w:val="16"/>
        </w:rPr>
        <w:t xml:space="preserve"> con </w:t>
      </w:r>
      <w:proofErr w:type="spellStart"/>
      <w:r w:rsidRPr="002D7B1A">
        <w:rPr>
          <w:rFonts w:ascii="Times New Roman" w:hAnsi="Times New Roman" w:cs="Times New Roman"/>
          <w:sz w:val="16"/>
          <w:szCs w:val="16"/>
        </w:rPr>
        <w:t>estrategias</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ni</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indicadores</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vinculados</w:t>
      </w:r>
      <w:proofErr w:type="spellEnd"/>
      <w:r w:rsidRPr="002D7B1A">
        <w:rPr>
          <w:rFonts w:ascii="Times New Roman" w:hAnsi="Times New Roman" w:cs="Times New Roman"/>
          <w:sz w:val="16"/>
          <w:szCs w:val="16"/>
        </w:rPr>
        <w:t xml:space="preserve"> a la </w:t>
      </w:r>
      <w:proofErr w:type="spellStart"/>
      <w:r w:rsidRPr="002D7B1A">
        <w:rPr>
          <w:rFonts w:ascii="Times New Roman" w:hAnsi="Times New Roman" w:cs="Times New Roman"/>
          <w:sz w:val="16"/>
          <w:szCs w:val="16"/>
        </w:rPr>
        <w:t>prevención</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atención</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sanción</w:t>
      </w:r>
      <w:proofErr w:type="spellEnd"/>
      <w:r w:rsidRPr="002D7B1A">
        <w:rPr>
          <w:rFonts w:ascii="Times New Roman" w:hAnsi="Times New Roman" w:cs="Times New Roman"/>
          <w:sz w:val="16"/>
          <w:szCs w:val="16"/>
        </w:rPr>
        <w:t xml:space="preserve"> y </w:t>
      </w:r>
      <w:proofErr w:type="spellStart"/>
      <w:r w:rsidRPr="002D7B1A">
        <w:rPr>
          <w:rFonts w:ascii="Times New Roman" w:hAnsi="Times New Roman" w:cs="Times New Roman"/>
          <w:sz w:val="16"/>
          <w:szCs w:val="16"/>
        </w:rPr>
        <w:t>restitución</w:t>
      </w:r>
      <w:proofErr w:type="spellEnd"/>
      <w:r w:rsidRPr="002D7B1A">
        <w:rPr>
          <w:rFonts w:ascii="Times New Roman" w:hAnsi="Times New Roman" w:cs="Times New Roman"/>
          <w:sz w:val="16"/>
          <w:szCs w:val="16"/>
        </w:rPr>
        <w:t xml:space="preserve"> de derechos de las personas LGBT.</w:t>
      </w:r>
    </w:p>
  </w:endnote>
  <w:endnote w:id="10">
    <w:p w14:paraId="63DC831F" w14:textId="77777777" w:rsidR="000A78EB" w:rsidRPr="001A1AD4" w:rsidRDefault="000A78EB" w:rsidP="000A78EB">
      <w:pPr>
        <w:pStyle w:val="Prrafodelista"/>
        <w:tabs>
          <w:tab w:val="left" w:pos="426"/>
          <w:tab w:val="left" w:pos="7938"/>
        </w:tabs>
        <w:spacing w:after="0" w:line="240" w:lineRule="auto"/>
        <w:ind w:left="0"/>
        <w:jc w:val="both"/>
        <w:rPr>
          <w:rFonts w:ascii="Times New Roman" w:hAnsi="Times New Roman" w:cs="Times New Roman"/>
          <w:bCs/>
          <w:sz w:val="16"/>
          <w:szCs w:val="16"/>
          <w:lang w:val="es-419"/>
        </w:rPr>
      </w:pPr>
      <w:r w:rsidRPr="001A1AD4">
        <w:rPr>
          <w:rStyle w:val="Refdenotaalfinal"/>
          <w:rFonts w:ascii="Times New Roman" w:hAnsi="Times New Roman" w:cs="Times New Roman"/>
          <w:sz w:val="16"/>
          <w:szCs w:val="16"/>
        </w:rPr>
        <w:endnoteRef/>
      </w:r>
      <w:r w:rsidRPr="001A1AD4">
        <w:rPr>
          <w:rFonts w:ascii="Times New Roman" w:hAnsi="Times New Roman" w:cs="Times New Roman"/>
          <w:sz w:val="16"/>
          <w:szCs w:val="16"/>
        </w:rPr>
        <w:t xml:space="preserve"> </w:t>
      </w:r>
      <w:r w:rsidRPr="001A1AD4">
        <w:rPr>
          <w:rFonts w:ascii="Times New Roman" w:hAnsi="Times New Roman" w:cs="Times New Roman"/>
          <w:bCs/>
          <w:sz w:val="16"/>
          <w:szCs w:val="16"/>
          <w:lang w:val="es-419"/>
        </w:rPr>
        <w:t xml:space="preserve">Un ejemplo de ello es, el Acuerdo Plenario </w:t>
      </w:r>
      <w:proofErr w:type="spellStart"/>
      <w:r w:rsidRPr="001A1AD4">
        <w:rPr>
          <w:rFonts w:ascii="Times New Roman" w:hAnsi="Times New Roman" w:cs="Times New Roman"/>
          <w:bCs/>
          <w:sz w:val="16"/>
          <w:szCs w:val="16"/>
          <w:lang w:val="es-419"/>
        </w:rPr>
        <w:t>N°</w:t>
      </w:r>
      <w:proofErr w:type="spellEnd"/>
      <w:r w:rsidRPr="001A1AD4">
        <w:rPr>
          <w:rFonts w:ascii="Times New Roman" w:hAnsi="Times New Roman" w:cs="Times New Roman"/>
          <w:bCs/>
          <w:sz w:val="16"/>
          <w:szCs w:val="16"/>
          <w:lang w:val="es-419"/>
        </w:rPr>
        <w:t xml:space="preserve"> 001-2016/CJ-116 del Poder Judicial sobre el delito de feminicidio, el cual excluye a las mujeres trans del acceso a la justicia, al señalar que: “</w:t>
      </w:r>
      <w:r w:rsidRPr="001A1AD4">
        <w:rPr>
          <w:rFonts w:ascii="Times New Roman" w:hAnsi="Times New Roman" w:cs="Times New Roman"/>
          <w:bCs/>
          <w:i/>
          <w:iCs/>
          <w:sz w:val="16"/>
          <w:szCs w:val="16"/>
          <w:lang w:val="es-419"/>
        </w:rPr>
        <w:t>35. (…) La conducta homicida del varón recae sobre una mujer. Ella es igualmente la titular del bien jurídico tutelado </w:t>
      </w:r>
      <w:r w:rsidRPr="001A1AD4">
        <w:rPr>
          <w:rFonts w:ascii="Times New Roman" w:hAnsi="Times New Roman" w:cs="Times New Roman"/>
          <w:b/>
          <w:bCs/>
          <w:i/>
          <w:iCs/>
          <w:sz w:val="16"/>
          <w:szCs w:val="16"/>
          <w:lang w:val="es-419"/>
        </w:rPr>
        <w:t>(…) Tampoco es posible, por exigencia del principio de legalidad, que se la identifique con la identidad sexual</w:t>
      </w:r>
      <w:r w:rsidRPr="001A1AD4">
        <w:rPr>
          <w:rFonts w:ascii="Times New Roman" w:hAnsi="Times New Roman" w:cs="Times New Roman"/>
          <w:bCs/>
          <w:sz w:val="16"/>
          <w:szCs w:val="16"/>
          <w:lang w:val="es-419"/>
        </w:rPr>
        <w:t>” (énfasis agregado).</w:t>
      </w:r>
    </w:p>
  </w:endnote>
  <w:endnote w:id="11">
    <w:p w14:paraId="439A212C" w14:textId="1B185226" w:rsidR="00A47FF1" w:rsidRPr="002D7B1A" w:rsidRDefault="00A47FF1"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Comité CEDAW. Recomendaciones finales al Estado de Perú. </w:t>
      </w:r>
      <w:r w:rsidRPr="002D7B1A">
        <w:rPr>
          <w:rFonts w:ascii="Times New Roman" w:hAnsi="Times New Roman" w:cs="Times New Roman"/>
          <w:sz w:val="16"/>
          <w:szCs w:val="16"/>
        </w:rPr>
        <w:t xml:space="preserve">58 </w:t>
      </w:r>
      <w:proofErr w:type="spellStart"/>
      <w:r w:rsidRPr="002D7B1A">
        <w:rPr>
          <w:rFonts w:ascii="Times New Roman" w:hAnsi="Times New Roman" w:cs="Times New Roman"/>
          <w:sz w:val="16"/>
          <w:szCs w:val="16"/>
        </w:rPr>
        <w:t>sesión</w:t>
      </w:r>
      <w:proofErr w:type="spellEnd"/>
      <w:r w:rsidRPr="002D7B1A">
        <w:rPr>
          <w:rFonts w:ascii="Times New Roman" w:hAnsi="Times New Roman" w:cs="Times New Roman"/>
          <w:sz w:val="16"/>
          <w:szCs w:val="16"/>
        </w:rPr>
        <w:t xml:space="preserve">, 30 de </w:t>
      </w:r>
      <w:proofErr w:type="spellStart"/>
      <w:r w:rsidRPr="002D7B1A">
        <w:rPr>
          <w:rFonts w:ascii="Times New Roman" w:hAnsi="Times New Roman" w:cs="Times New Roman"/>
          <w:sz w:val="16"/>
          <w:szCs w:val="16"/>
        </w:rPr>
        <w:t>junio</w:t>
      </w:r>
      <w:proofErr w:type="spellEnd"/>
      <w:r w:rsidRPr="002D7B1A">
        <w:rPr>
          <w:rFonts w:ascii="Times New Roman" w:hAnsi="Times New Roman" w:cs="Times New Roman"/>
          <w:sz w:val="16"/>
          <w:szCs w:val="16"/>
        </w:rPr>
        <w:t xml:space="preserve"> al 18 de </w:t>
      </w:r>
      <w:proofErr w:type="spellStart"/>
      <w:r w:rsidRPr="002D7B1A">
        <w:rPr>
          <w:rFonts w:ascii="Times New Roman" w:hAnsi="Times New Roman" w:cs="Times New Roman"/>
          <w:sz w:val="16"/>
          <w:szCs w:val="16"/>
        </w:rPr>
        <w:t>julio</w:t>
      </w:r>
      <w:proofErr w:type="spellEnd"/>
      <w:r w:rsidRPr="002D7B1A">
        <w:rPr>
          <w:rFonts w:ascii="Times New Roman" w:hAnsi="Times New Roman" w:cs="Times New Roman"/>
          <w:sz w:val="16"/>
          <w:szCs w:val="16"/>
        </w:rPr>
        <w:t xml:space="preserve"> 2014, </w:t>
      </w:r>
      <w:proofErr w:type="spellStart"/>
      <w:r w:rsidRPr="002D7B1A">
        <w:rPr>
          <w:rFonts w:ascii="Times New Roman" w:hAnsi="Times New Roman" w:cs="Times New Roman"/>
          <w:sz w:val="16"/>
          <w:szCs w:val="16"/>
        </w:rPr>
        <w:t>párrafo</w:t>
      </w:r>
      <w:proofErr w:type="spellEnd"/>
      <w:r w:rsidRPr="002D7B1A">
        <w:rPr>
          <w:rFonts w:ascii="Times New Roman" w:hAnsi="Times New Roman" w:cs="Times New Roman"/>
          <w:sz w:val="16"/>
          <w:szCs w:val="16"/>
        </w:rPr>
        <w:t xml:space="preserve"> 17-18</w:t>
      </w:r>
    </w:p>
  </w:endnote>
  <w:endnote w:id="12">
    <w:p w14:paraId="41F1E62C" w14:textId="4FC4AF95" w:rsidR="003C3DF2" w:rsidRPr="002D7B1A" w:rsidRDefault="003C3DF2"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proofErr w:type="spellStart"/>
      <w:r w:rsidRPr="002D7B1A">
        <w:rPr>
          <w:rFonts w:ascii="Times New Roman" w:hAnsi="Times New Roman" w:cs="Times New Roman"/>
          <w:sz w:val="16"/>
          <w:szCs w:val="16"/>
        </w:rPr>
        <w:t>Defensoría</w:t>
      </w:r>
      <w:proofErr w:type="spellEnd"/>
      <w:r w:rsidRPr="002D7B1A">
        <w:rPr>
          <w:rFonts w:ascii="Times New Roman" w:hAnsi="Times New Roman" w:cs="Times New Roman"/>
          <w:sz w:val="16"/>
          <w:szCs w:val="16"/>
        </w:rPr>
        <w:t xml:space="preserve"> del Pueblo. Informe </w:t>
      </w:r>
      <w:proofErr w:type="spellStart"/>
      <w:r w:rsidRPr="002D7B1A">
        <w:rPr>
          <w:rFonts w:ascii="Times New Roman" w:hAnsi="Times New Roman" w:cs="Times New Roman"/>
          <w:sz w:val="16"/>
          <w:szCs w:val="16"/>
        </w:rPr>
        <w:t>Defensorial</w:t>
      </w:r>
      <w:proofErr w:type="spellEnd"/>
      <w:r w:rsidRPr="002D7B1A">
        <w:rPr>
          <w:rFonts w:ascii="Times New Roman" w:hAnsi="Times New Roman" w:cs="Times New Roman"/>
          <w:sz w:val="16"/>
          <w:szCs w:val="16"/>
        </w:rPr>
        <w:t xml:space="preserve"> No. 175. </w:t>
      </w:r>
      <w:hyperlink r:id="rId3" w:history="1">
        <w:r w:rsidRPr="002D7B1A">
          <w:rPr>
            <w:rStyle w:val="Hipervnculo"/>
            <w:rFonts w:ascii="Times New Roman" w:hAnsi="Times New Roman" w:cs="Times New Roman"/>
            <w:sz w:val="16"/>
            <w:szCs w:val="16"/>
          </w:rPr>
          <w:t xml:space="preserve">Derechos </w:t>
        </w:r>
        <w:proofErr w:type="spellStart"/>
        <w:r w:rsidRPr="002D7B1A">
          <w:rPr>
            <w:rStyle w:val="Hipervnculo"/>
            <w:rFonts w:ascii="Times New Roman" w:hAnsi="Times New Roman" w:cs="Times New Roman"/>
            <w:sz w:val="16"/>
            <w:szCs w:val="16"/>
          </w:rPr>
          <w:t>humanos</w:t>
        </w:r>
        <w:proofErr w:type="spellEnd"/>
        <w:r w:rsidRPr="002D7B1A">
          <w:rPr>
            <w:rStyle w:val="Hipervnculo"/>
            <w:rFonts w:ascii="Times New Roman" w:hAnsi="Times New Roman" w:cs="Times New Roman"/>
            <w:sz w:val="16"/>
            <w:szCs w:val="16"/>
          </w:rPr>
          <w:t xml:space="preserve"> de las personas LGBTI: </w:t>
        </w:r>
        <w:proofErr w:type="spellStart"/>
        <w:r w:rsidRPr="002D7B1A">
          <w:rPr>
            <w:rStyle w:val="Hipervnculo"/>
            <w:rFonts w:ascii="Times New Roman" w:hAnsi="Times New Roman" w:cs="Times New Roman"/>
            <w:sz w:val="16"/>
            <w:szCs w:val="16"/>
          </w:rPr>
          <w:t>Necesidad</w:t>
        </w:r>
        <w:proofErr w:type="spellEnd"/>
        <w:r w:rsidRPr="002D7B1A">
          <w:rPr>
            <w:rStyle w:val="Hipervnculo"/>
            <w:rFonts w:ascii="Times New Roman" w:hAnsi="Times New Roman" w:cs="Times New Roman"/>
            <w:sz w:val="16"/>
            <w:szCs w:val="16"/>
          </w:rPr>
          <w:t xml:space="preserve"> de una </w:t>
        </w:r>
        <w:proofErr w:type="spellStart"/>
        <w:r w:rsidRPr="002D7B1A">
          <w:rPr>
            <w:rStyle w:val="Hipervnculo"/>
            <w:rFonts w:ascii="Times New Roman" w:hAnsi="Times New Roman" w:cs="Times New Roman"/>
            <w:sz w:val="16"/>
            <w:szCs w:val="16"/>
          </w:rPr>
          <w:t>política</w:t>
        </w:r>
        <w:proofErr w:type="spellEnd"/>
        <w:r w:rsidRPr="002D7B1A">
          <w:rPr>
            <w:rStyle w:val="Hipervnculo"/>
            <w:rFonts w:ascii="Times New Roman" w:hAnsi="Times New Roman" w:cs="Times New Roman"/>
            <w:sz w:val="16"/>
            <w:szCs w:val="16"/>
          </w:rPr>
          <w:t xml:space="preserve"> </w:t>
        </w:r>
        <w:proofErr w:type="spellStart"/>
        <w:r w:rsidRPr="002D7B1A">
          <w:rPr>
            <w:rStyle w:val="Hipervnculo"/>
            <w:rFonts w:ascii="Times New Roman" w:hAnsi="Times New Roman" w:cs="Times New Roman"/>
            <w:sz w:val="16"/>
            <w:szCs w:val="16"/>
          </w:rPr>
          <w:t>pública</w:t>
        </w:r>
        <w:proofErr w:type="spellEnd"/>
        <w:r w:rsidRPr="002D7B1A">
          <w:rPr>
            <w:rStyle w:val="Hipervnculo"/>
            <w:rFonts w:ascii="Times New Roman" w:hAnsi="Times New Roman" w:cs="Times New Roman"/>
            <w:sz w:val="16"/>
            <w:szCs w:val="16"/>
          </w:rPr>
          <w:t xml:space="preserve"> para la </w:t>
        </w:r>
        <w:proofErr w:type="spellStart"/>
        <w:r w:rsidRPr="002D7B1A">
          <w:rPr>
            <w:rStyle w:val="Hipervnculo"/>
            <w:rFonts w:ascii="Times New Roman" w:hAnsi="Times New Roman" w:cs="Times New Roman"/>
            <w:sz w:val="16"/>
            <w:szCs w:val="16"/>
          </w:rPr>
          <w:t>igualdad</w:t>
        </w:r>
        <w:proofErr w:type="spellEnd"/>
        <w:r w:rsidRPr="002D7B1A">
          <w:rPr>
            <w:rStyle w:val="Hipervnculo"/>
            <w:rFonts w:ascii="Times New Roman" w:hAnsi="Times New Roman" w:cs="Times New Roman"/>
            <w:sz w:val="16"/>
            <w:szCs w:val="16"/>
          </w:rPr>
          <w:t xml:space="preserve"> </w:t>
        </w:r>
        <w:proofErr w:type="spellStart"/>
        <w:r w:rsidRPr="002D7B1A">
          <w:rPr>
            <w:rStyle w:val="Hipervnculo"/>
            <w:rFonts w:ascii="Times New Roman" w:hAnsi="Times New Roman" w:cs="Times New Roman"/>
            <w:sz w:val="16"/>
            <w:szCs w:val="16"/>
          </w:rPr>
          <w:t>en</w:t>
        </w:r>
        <w:proofErr w:type="spellEnd"/>
        <w:r w:rsidRPr="002D7B1A">
          <w:rPr>
            <w:rStyle w:val="Hipervnculo"/>
            <w:rFonts w:ascii="Times New Roman" w:hAnsi="Times New Roman" w:cs="Times New Roman"/>
            <w:sz w:val="16"/>
            <w:szCs w:val="16"/>
          </w:rPr>
          <w:t xml:space="preserve"> el Perú</w:t>
        </w:r>
      </w:hyperlink>
      <w:r w:rsidRPr="002D7B1A">
        <w:rPr>
          <w:rFonts w:ascii="Times New Roman" w:hAnsi="Times New Roman" w:cs="Times New Roman"/>
          <w:sz w:val="16"/>
          <w:szCs w:val="16"/>
        </w:rPr>
        <w:t xml:space="preserve">. Lima, 2016, </w:t>
      </w:r>
      <w:proofErr w:type="spellStart"/>
      <w:r w:rsidRPr="002D7B1A">
        <w:rPr>
          <w:rFonts w:ascii="Times New Roman" w:hAnsi="Times New Roman" w:cs="Times New Roman"/>
          <w:sz w:val="16"/>
          <w:szCs w:val="16"/>
        </w:rPr>
        <w:t>página</w:t>
      </w:r>
      <w:proofErr w:type="spellEnd"/>
      <w:r w:rsidRPr="002D7B1A">
        <w:rPr>
          <w:rFonts w:ascii="Times New Roman" w:hAnsi="Times New Roman" w:cs="Times New Roman"/>
          <w:sz w:val="16"/>
          <w:szCs w:val="16"/>
        </w:rPr>
        <w:t xml:space="preserve"> 185.</w:t>
      </w:r>
    </w:p>
  </w:endnote>
  <w:endnote w:id="13">
    <w:p w14:paraId="2A161D42" w14:textId="77777777" w:rsidR="003C3DF2" w:rsidRPr="002D7B1A" w:rsidRDefault="003C3DF2" w:rsidP="002D7B1A">
      <w:pPr>
        <w:tabs>
          <w:tab w:val="left" w:pos="284"/>
        </w:tabs>
        <w:spacing w:after="0" w:line="240" w:lineRule="auto"/>
        <w:jc w:val="both"/>
        <w:rPr>
          <w:rFonts w:ascii="Times New Roman" w:hAnsi="Times New Roman" w:cs="Times New Roman"/>
          <w:sz w:val="16"/>
          <w:szCs w:val="16"/>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b/>
          <w:bCs/>
          <w:sz w:val="16"/>
          <w:szCs w:val="16"/>
        </w:rPr>
        <w:t>El caso de V (2018)</w:t>
      </w:r>
      <w:r w:rsidRPr="002D7B1A">
        <w:rPr>
          <w:rFonts w:ascii="Times New Roman" w:hAnsi="Times New Roman" w:cs="Times New Roman"/>
          <w:sz w:val="16"/>
          <w:szCs w:val="16"/>
        </w:rPr>
        <w:t>, es el de una mujer trans que interpuso una demanda civil para solicitar cambio de nombre y sexo en el registro de identidad en agosto del 2018. En su oportunidad se presentó varios recursos, los que fueron desestimados argumentando que no se cumplía ciertos requisitos, a pesar de no estar establecido en el Código Civil.</w:t>
      </w:r>
      <w:r w:rsidRPr="002D7B1A">
        <w:rPr>
          <w:rStyle w:val="Refdenotaalpie"/>
          <w:rFonts w:ascii="Times New Roman" w:hAnsi="Times New Roman" w:cs="Times New Roman"/>
          <w:sz w:val="16"/>
          <w:szCs w:val="16"/>
        </w:rPr>
        <w:endnoteRef/>
      </w:r>
      <w:r w:rsidRPr="002D7B1A">
        <w:rPr>
          <w:rFonts w:ascii="Times New Roman" w:hAnsi="Times New Roman" w:cs="Times New Roman"/>
          <w:sz w:val="16"/>
          <w:szCs w:val="16"/>
        </w:rPr>
        <w:t xml:space="preserve"> (Juzgado Civil de Lima, Expediente </w:t>
      </w:r>
      <w:proofErr w:type="spellStart"/>
      <w:r w:rsidRPr="002D7B1A">
        <w:rPr>
          <w:rFonts w:ascii="Times New Roman" w:hAnsi="Times New Roman" w:cs="Times New Roman"/>
          <w:sz w:val="16"/>
          <w:szCs w:val="16"/>
        </w:rPr>
        <w:t>Nº</w:t>
      </w:r>
      <w:proofErr w:type="spellEnd"/>
      <w:r w:rsidRPr="002D7B1A">
        <w:rPr>
          <w:rFonts w:ascii="Times New Roman" w:hAnsi="Times New Roman" w:cs="Times New Roman"/>
          <w:sz w:val="16"/>
          <w:szCs w:val="16"/>
        </w:rPr>
        <w:t xml:space="preserve"> 12160-2018)</w:t>
      </w:r>
    </w:p>
    <w:p w14:paraId="08CDC931" w14:textId="77777777" w:rsidR="003C3DF2" w:rsidRPr="00103F24" w:rsidRDefault="003C3DF2" w:rsidP="002D7B1A">
      <w:pPr>
        <w:tabs>
          <w:tab w:val="left" w:pos="284"/>
          <w:tab w:val="left" w:pos="7938"/>
        </w:tabs>
        <w:spacing w:after="0" w:line="240" w:lineRule="auto"/>
        <w:jc w:val="both"/>
        <w:rPr>
          <w:rFonts w:ascii="Times New Roman" w:hAnsi="Times New Roman" w:cs="Times New Roman"/>
          <w:noProof/>
          <w:sz w:val="16"/>
          <w:szCs w:val="16"/>
          <w:lang w:val="en-US"/>
        </w:rPr>
      </w:pPr>
      <w:r w:rsidRPr="002D7B1A">
        <w:rPr>
          <w:rFonts w:ascii="Times New Roman" w:hAnsi="Times New Roman" w:cs="Times New Roman"/>
          <w:b/>
          <w:bCs/>
          <w:noProof/>
          <w:sz w:val="16"/>
          <w:szCs w:val="16"/>
        </w:rPr>
        <w:t>El caso de Y.F.T., mujer transexual de 32 años (2007)</w:t>
      </w:r>
      <w:r w:rsidRPr="002D7B1A">
        <w:rPr>
          <w:rStyle w:val="Refdenotaalpie"/>
          <w:rFonts w:ascii="Times New Roman" w:hAnsi="Times New Roman" w:cs="Times New Roman"/>
          <w:noProof/>
          <w:sz w:val="16"/>
          <w:szCs w:val="16"/>
        </w:rPr>
        <w:endnoteRef/>
      </w:r>
      <w:r w:rsidRPr="002D7B1A">
        <w:rPr>
          <w:rFonts w:ascii="Times New Roman" w:hAnsi="Times New Roman" w:cs="Times New Roman"/>
          <w:noProof/>
          <w:sz w:val="16"/>
          <w:szCs w:val="16"/>
        </w:rPr>
        <w:t>. El día 28 de octubre de 2007 se encontraba esperando un taxi para dirigirse a su casa, cuando aparecieron cinco individuos que la agredieron y le infligieron torturas físicas y psicológicas. En el momento de huida de sus agresores, solicitó el apoyo a dos efectivos policiales, quienes hicieron caso omiso de socorrerla. Los sujetos aprovecharon esta situación para proferirle cortes profundos en la espalda y rostro con picos rotos de botella de vidrio. Ella fue trasladada a un centro de salud donde no le brindaron atención médica oportuna y fue víctima de discriminación por su identidad de género. Se interpuso una denuncia por el delito de omisión de auxilio a persona en peligro y en marzo de 2010 el Segundo Juzgado Penal de Chosica sentenció a los suboficiales a cuatro años de pena privativa de libertad suspendida y al pago de una reparación civil. En marzo de 2015, presentamos una denuncia por el delito de tortura. El 07 de septiembre de 2018 (tres años de iniciada la demanda) la fiscal a cargo ha decidido no denunciar el hecho de tortura y archivar la denuncia, y solo formalizó denuncia penal por lesiones graves en la modalidad de Comisión por Omisión y el 22 de julio del 2019 el Segundo Juzgado Penal de Ate emitió sentencia solo por lesiones graves en la modalidad de comisión por omisión y el 21 de octubre de 2019, la Sala Penal Permanente liquidadora de Ate, de la Corte Superior de Justicia de Lima Este, declaró extinguida la acción penal, revocó la sentencia condenatoria y eliminó los antecedentes de los policías denunciados. Esta decisión no podia ser impugnada por la señora Peña Tuanama y no fue impugnada por el Ministerio Público</w:t>
      </w:r>
      <w:r w:rsidRPr="002D7B1A">
        <w:rPr>
          <w:rStyle w:val="Refdenotaalpie"/>
          <w:rFonts w:ascii="Times New Roman" w:hAnsi="Times New Roman" w:cs="Times New Roman"/>
          <w:noProof/>
          <w:sz w:val="16"/>
          <w:szCs w:val="16"/>
        </w:rPr>
        <w:endnoteRef/>
      </w:r>
      <w:r w:rsidRPr="002D7B1A">
        <w:rPr>
          <w:rFonts w:ascii="Times New Roman" w:hAnsi="Times New Roman" w:cs="Times New Roman"/>
          <w:noProof/>
          <w:sz w:val="16"/>
          <w:szCs w:val="16"/>
        </w:rPr>
        <w:t xml:space="preserve">. Esto evidencia la desidia de los operadores de justicia de investigar con la debida diligencia. A esto se suma que en diciembre de 2018, Yefri fue agredida  fisicamente y </w:t>
      </w:r>
      <w:r w:rsidRPr="00103F24">
        <w:rPr>
          <w:rFonts w:ascii="Times New Roman" w:hAnsi="Times New Roman" w:cs="Times New Roman"/>
          <w:noProof/>
          <w:sz w:val="16"/>
          <w:szCs w:val="16"/>
        </w:rPr>
        <w:t>psicologicamente por su identidad de género. A pesar de haberse denunciado estos hechos, no se aperturó ninguna investigacion, menos aun se le brindo las garantias de protección, pese a haberlo solicitado al 12º Juzgado de Fmailia Lima Este con fecha 26 de diciembre.</w:t>
      </w:r>
    </w:p>
  </w:endnote>
  <w:endnote w:id="14">
    <w:p w14:paraId="53ED164C" w14:textId="123762F3" w:rsidR="00103F24" w:rsidRPr="00103F24" w:rsidRDefault="00103F24" w:rsidP="00103F24">
      <w:pPr>
        <w:pStyle w:val="Sinespaciado"/>
        <w:contextualSpacing/>
        <w:jc w:val="both"/>
        <w:rPr>
          <w:rFonts w:ascii="Times New Roman" w:eastAsia="Cambria" w:hAnsi="Times New Roman" w:cs="Times New Roman"/>
          <w:sz w:val="16"/>
          <w:szCs w:val="16"/>
          <w:lang w:val="es-CO"/>
        </w:rPr>
      </w:pPr>
      <w:r w:rsidRPr="00103F24">
        <w:rPr>
          <w:rFonts w:ascii="Times New Roman" w:hAnsi="Times New Roman" w:cs="Times New Roman"/>
          <w:sz w:val="16"/>
          <w:szCs w:val="16"/>
          <w:vertAlign w:val="superscript"/>
        </w:rPr>
        <w:endnoteRef/>
      </w:r>
      <w:r w:rsidRPr="00103F24">
        <w:rPr>
          <w:rFonts w:ascii="Times New Roman" w:eastAsia="Cambria" w:hAnsi="Times New Roman" w:cs="Times New Roman"/>
          <w:sz w:val="16"/>
          <w:szCs w:val="16"/>
          <w:lang w:val="es-CO"/>
        </w:rPr>
        <w:t xml:space="preserve"> </w:t>
      </w:r>
      <w:r w:rsidR="00BE297E">
        <w:rPr>
          <w:rFonts w:ascii="Times New Roman" w:hAnsi="Times New Roman" w:cs="Times New Roman"/>
          <w:noProof/>
          <w:color w:val="000000" w:themeColor="text1"/>
          <w:sz w:val="16"/>
          <w:szCs w:val="16"/>
        </w:rPr>
        <w:t>F</w:t>
      </w:r>
      <w:r w:rsidRPr="00103F24">
        <w:rPr>
          <w:rFonts w:ascii="Times New Roman" w:hAnsi="Times New Roman" w:cs="Times New Roman"/>
          <w:noProof/>
          <w:color w:val="000000" w:themeColor="text1"/>
          <w:sz w:val="16"/>
          <w:szCs w:val="16"/>
        </w:rPr>
        <w:t>uerza de seguridad del gobierno local</w:t>
      </w:r>
    </w:p>
  </w:endnote>
  <w:endnote w:id="15">
    <w:p w14:paraId="0CDD290A" w14:textId="3FCEBEDF" w:rsidR="003E6226" w:rsidRPr="003E6226" w:rsidRDefault="003E6226" w:rsidP="003E6226">
      <w:pPr>
        <w:pStyle w:val="Sinespaciado"/>
        <w:contextualSpacing/>
        <w:jc w:val="both"/>
        <w:rPr>
          <w:rFonts w:ascii="Times New Roman" w:eastAsia="Cambria" w:hAnsi="Times New Roman" w:cs="Times New Roman"/>
          <w:sz w:val="16"/>
          <w:szCs w:val="16"/>
          <w:lang w:val="es-CO"/>
        </w:rPr>
      </w:pPr>
      <w:r w:rsidRPr="003E6226">
        <w:rPr>
          <w:rFonts w:ascii="Times New Roman" w:hAnsi="Times New Roman" w:cs="Times New Roman"/>
          <w:sz w:val="16"/>
          <w:szCs w:val="16"/>
          <w:vertAlign w:val="superscript"/>
        </w:rPr>
        <w:endnoteRef/>
      </w:r>
      <w:r w:rsidRPr="003E6226">
        <w:rPr>
          <w:rFonts w:ascii="Times New Roman" w:eastAsia="Cambria" w:hAnsi="Times New Roman" w:cs="Times New Roman"/>
          <w:sz w:val="16"/>
          <w:szCs w:val="16"/>
          <w:lang w:val="es-CO"/>
        </w:rPr>
        <w:t xml:space="preserve"> </w:t>
      </w:r>
      <w:r w:rsidRPr="003E6226">
        <w:rPr>
          <w:rFonts w:ascii="Times New Roman" w:hAnsi="Times New Roman" w:cs="Times New Roman"/>
          <w:noProof/>
          <w:color w:val="000000" w:themeColor="text1"/>
          <w:sz w:val="16"/>
          <w:szCs w:val="16"/>
        </w:rPr>
        <w:t>Reclamando que el Estado sea el responsable por la violación de los Arts. 5, 1, 11, 25 CADH y los Arts. 1, 6 y 8 de la Convención Interamericana para Prevenir y Sancionar la Tortura</w:t>
      </w:r>
      <w:r w:rsidRPr="003E6226">
        <w:rPr>
          <w:rFonts w:ascii="Times New Roman" w:hAnsi="Times New Roman" w:cs="Times New Roman"/>
          <w:sz w:val="16"/>
          <w:szCs w:val="16"/>
        </w:rPr>
        <w:t xml:space="preserve"> Informe. N.º 99/14 </w:t>
      </w:r>
      <w:proofErr w:type="spellStart"/>
      <w:r w:rsidRPr="003E6226">
        <w:rPr>
          <w:rFonts w:ascii="Times New Roman" w:hAnsi="Times New Roman" w:cs="Times New Roman"/>
          <w:sz w:val="16"/>
          <w:szCs w:val="16"/>
        </w:rPr>
        <w:t>Petición</w:t>
      </w:r>
      <w:proofErr w:type="spellEnd"/>
      <w:r w:rsidRPr="003E6226">
        <w:rPr>
          <w:rFonts w:ascii="Times New Roman" w:hAnsi="Times New Roman" w:cs="Times New Roman"/>
          <w:sz w:val="16"/>
          <w:szCs w:val="16"/>
        </w:rPr>
        <w:t xml:space="preserve"> 446-09. </w:t>
      </w:r>
      <w:hyperlink r:id="rId4" w:history="1">
        <w:r w:rsidRPr="003E6226">
          <w:rPr>
            <w:rStyle w:val="Hipervnculo"/>
            <w:rFonts w:ascii="Times New Roman" w:hAnsi="Times New Roman" w:cs="Times New Roman"/>
            <w:sz w:val="16"/>
            <w:szCs w:val="16"/>
          </w:rPr>
          <w:t xml:space="preserve">Informe de </w:t>
        </w:r>
        <w:proofErr w:type="spellStart"/>
        <w:r w:rsidRPr="003E6226">
          <w:rPr>
            <w:rStyle w:val="Hipervnculo"/>
            <w:rFonts w:ascii="Times New Roman" w:hAnsi="Times New Roman" w:cs="Times New Roman"/>
            <w:sz w:val="16"/>
            <w:szCs w:val="16"/>
          </w:rPr>
          <w:t>Admisibilidad</w:t>
        </w:r>
        <w:proofErr w:type="spellEnd"/>
        <w:r w:rsidRPr="003E6226">
          <w:rPr>
            <w:rStyle w:val="Hipervnculo"/>
            <w:rFonts w:ascii="Times New Roman" w:hAnsi="Times New Roman" w:cs="Times New Roman"/>
            <w:sz w:val="16"/>
            <w:szCs w:val="16"/>
          </w:rPr>
          <w:t xml:space="preserve"> de Luis Alberto Rojas Marín vs. Perú</w:t>
        </w:r>
      </w:hyperlink>
    </w:p>
  </w:endnote>
  <w:endnote w:id="16">
    <w:p w14:paraId="748118E8" w14:textId="76D928A7" w:rsidR="00961C55" w:rsidRPr="002D7B1A" w:rsidRDefault="00961C55" w:rsidP="002D7B1A">
      <w:pPr>
        <w:pStyle w:val="Textonotaalfinal"/>
        <w:jc w:val="both"/>
        <w:rPr>
          <w:rFonts w:ascii="Times New Roman" w:hAnsi="Times New Roman" w:cs="Times New Roman"/>
          <w:sz w:val="16"/>
          <w:szCs w:val="16"/>
          <w:lang w:val="es-ES"/>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proofErr w:type="spellStart"/>
      <w:r w:rsidRPr="002D7B1A">
        <w:rPr>
          <w:rFonts w:ascii="Times New Roman" w:hAnsi="Times New Roman" w:cs="Times New Roman"/>
          <w:sz w:val="16"/>
          <w:szCs w:val="16"/>
        </w:rPr>
        <w:t>Comunicado</w:t>
      </w:r>
      <w:proofErr w:type="spellEnd"/>
      <w:r w:rsidRPr="002D7B1A">
        <w:rPr>
          <w:rFonts w:ascii="Times New Roman" w:hAnsi="Times New Roman" w:cs="Times New Roman"/>
          <w:sz w:val="16"/>
          <w:szCs w:val="16"/>
        </w:rPr>
        <w:t xml:space="preserve"> de </w:t>
      </w:r>
      <w:proofErr w:type="spellStart"/>
      <w:r w:rsidRPr="002D7B1A">
        <w:rPr>
          <w:rFonts w:ascii="Times New Roman" w:hAnsi="Times New Roman" w:cs="Times New Roman"/>
          <w:sz w:val="16"/>
          <w:szCs w:val="16"/>
        </w:rPr>
        <w:t>Prensa</w:t>
      </w:r>
      <w:proofErr w:type="spellEnd"/>
      <w:r w:rsidRPr="002D7B1A">
        <w:rPr>
          <w:rFonts w:ascii="Times New Roman" w:hAnsi="Times New Roman" w:cs="Times New Roman"/>
          <w:sz w:val="16"/>
          <w:szCs w:val="16"/>
        </w:rPr>
        <w:t xml:space="preserve"> CIDH, </w:t>
      </w:r>
      <w:hyperlink r:id="rId5" w:history="1">
        <w:r w:rsidRPr="002D7B1A">
          <w:rPr>
            <w:rStyle w:val="Hipervnculo"/>
            <w:rFonts w:ascii="Times New Roman" w:hAnsi="Times New Roman" w:cs="Times New Roman"/>
            <w:sz w:val="16"/>
            <w:szCs w:val="16"/>
          </w:rPr>
          <w:t xml:space="preserve">CIDH </w:t>
        </w:r>
        <w:proofErr w:type="spellStart"/>
        <w:r w:rsidRPr="002D7B1A">
          <w:rPr>
            <w:rStyle w:val="Hipervnculo"/>
            <w:rFonts w:ascii="Times New Roman" w:hAnsi="Times New Roman" w:cs="Times New Roman"/>
            <w:sz w:val="16"/>
            <w:szCs w:val="16"/>
          </w:rPr>
          <w:t>presenta</w:t>
        </w:r>
        <w:proofErr w:type="spellEnd"/>
        <w:r w:rsidRPr="002D7B1A">
          <w:rPr>
            <w:rStyle w:val="Hipervnculo"/>
            <w:rFonts w:ascii="Times New Roman" w:hAnsi="Times New Roman" w:cs="Times New Roman"/>
            <w:sz w:val="16"/>
            <w:szCs w:val="16"/>
          </w:rPr>
          <w:t xml:space="preserve"> </w:t>
        </w:r>
        <w:proofErr w:type="spellStart"/>
        <w:r w:rsidRPr="002D7B1A">
          <w:rPr>
            <w:rStyle w:val="Hipervnculo"/>
            <w:rFonts w:ascii="Times New Roman" w:hAnsi="Times New Roman" w:cs="Times New Roman"/>
            <w:sz w:val="16"/>
            <w:szCs w:val="16"/>
          </w:rPr>
          <w:t>caso</w:t>
        </w:r>
        <w:proofErr w:type="spellEnd"/>
        <w:r w:rsidRPr="002D7B1A">
          <w:rPr>
            <w:rStyle w:val="Hipervnculo"/>
            <w:rFonts w:ascii="Times New Roman" w:hAnsi="Times New Roman" w:cs="Times New Roman"/>
            <w:sz w:val="16"/>
            <w:szCs w:val="16"/>
          </w:rPr>
          <w:t xml:space="preserve"> </w:t>
        </w:r>
        <w:proofErr w:type="spellStart"/>
        <w:r w:rsidRPr="002D7B1A">
          <w:rPr>
            <w:rStyle w:val="Hipervnculo"/>
            <w:rFonts w:ascii="Times New Roman" w:hAnsi="Times New Roman" w:cs="Times New Roman"/>
            <w:sz w:val="16"/>
            <w:szCs w:val="16"/>
          </w:rPr>
          <w:t>sobre</w:t>
        </w:r>
        <w:proofErr w:type="spellEnd"/>
        <w:r w:rsidRPr="002D7B1A">
          <w:rPr>
            <w:rStyle w:val="Hipervnculo"/>
            <w:rFonts w:ascii="Times New Roman" w:hAnsi="Times New Roman" w:cs="Times New Roman"/>
            <w:sz w:val="16"/>
            <w:szCs w:val="16"/>
          </w:rPr>
          <w:t xml:space="preserve"> Perú ante la Corte IDH</w:t>
        </w:r>
      </w:hyperlink>
      <w:r w:rsidRPr="002D7B1A">
        <w:rPr>
          <w:rFonts w:ascii="Times New Roman" w:hAnsi="Times New Roman" w:cs="Times New Roman"/>
          <w:sz w:val="16"/>
          <w:szCs w:val="16"/>
        </w:rPr>
        <w:t xml:space="preserve">, 27 de </w:t>
      </w:r>
      <w:proofErr w:type="spellStart"/>
      <w:r w:rsidRPr="002D7B1A">
        <w:rPr>
          <w:rFonts w:ascii="Times New Roman" w:hAnsi="Times New Roman" w:cs="Times New Roman"/>
          <w:sz w:val="16"/>
          <w:szCs w:val="16"/>
        </w:rPr>
        <w:t>agosto</w:t>
      </w:r>
      <w:proofErr w:type="spellEnd"/>
      <w:r w:rsidRPr="002D7B1A">
        <w:rPr>
          <w:rFonts w:ascii="Times New Roman" w:hAnsi="Times New Roman" w:cs="Times New Roman"/>
          <w:sz w:val="16"/>
          <w:szCs w:val="16"/>
        </w:rPr>
        <w:t xml:space="preserve"> de 2018.</w:t>
      </w:r>
    </w:p>
  </w:endnote>
  <w:endnote w:id="17">
    <w:p w14:paraId="22ED04C8" w14:textId="0A4F5B64" w:rsidR="00961C55" w:rsidRPr="002D7B1A" w:rsidRDefault="00961C55" w:rsidP="002D7B1A">
      <w:pPr>
        <w:pStyle w:val="Textonotaalfinal"/>
        <w:contextualSpacing/>
        <w:jc w:val="both"/>
        <w:rPr>
          <w:rFonts w:ascii="Times New Roman" w:hAnsi="Times New Roman" w:cs="Times New Roman"/>
          <w:sz w:val="16"/>
          <w:szCs w:val="16"/>
          <w:lang w:val="es-PE"/>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proofErr w:type="spellStart"/>
      <w:r w:rsidRPr="002D7B1A">
        <w:rPr>
          <w:rFonts w:ascii="Times New Roman" w:hAnsi="Times New Roman" w:cs="Times New Roman"/>
          <w:sz w:val="16"/>
          <w:szCs w:val="16"/>
        </w:rPr>
        <w:t>Ibídem</w:t>
      </w:r>
      <w:proofErr w:type="spellEnd"/>
      <w:r w:rsidRPr="002D7B1A">
        <w:rPr>
          <w:rFonts w:ascii="Times New Roman" w:hAnsi="Times New Roman" w:cs="Times New Roman"/>
          <w:sz w:val="16"/>
          <w:szCs w:val="16"/>
        </w:rPr>
        <w:t>.</w:t>
      </w:r>
    </w:p>
  </w:endnote>
  <w:endnote w:id="18">
    <w:p w14:paraId="4B9E9915" w14:textId="77777777" w:rsidR="00961C55" w:rsidRPr="002D7B1A" w:rsidRDefault="00961C55" w:rsidP="002D7B1A">
      <w:pPr>
        <w:pStyle w:val="Prrafodelista"/>
        <w:tabs>
          <w:tab w:val="left" w:pos="426"/>
          <w:tab w:val="left" w:pos="7938"/>
        </w:tabs>
        <w:spacing w:after="0" w:line="240" w:lineRule="auto"/>
        <w:ind w:left="0"/>
        <w:jc w:val="both"/>
        <w:rPr>
          <w:rFonts w:ascii="Times New Roman" w:hAnsi="Times New Roman" w:cs="Times New Roman"/>
          <w:sz w:val="16"/>
          <w:szCs w:val="16"/>
        </w:rPr>
      </w:pPr>
      <w:r w:rsidRPr="001A1AD4">
        <w:rPr>
          <w:rStyle w:val="Refdenotaalfinal"/>
          <w:rFonts w:ascii="Times New Roman" w:hAnsi="Times New Roman" w:cs="Times New Roman"/>
          <w:sz w:val="16"/>
          <w:szCs w:val="16"/>
        </w:rPr>
        <w:endnoteRef/>
      </w:r>
      <w:r w:rsidRPr="001A1AD4">
        <w:rPr>
          <w:rFonts w:ascii="Times New Roman" w:hAnsi="Times New Roman" w:cs="Times New Roman"/>
          <w:sz w:val="16"/>
          <w:szCs w:val="16"/>
        </w:rPr>
        <w:t xml:space="preserve"> </w:t>
      </w:r>
      <w:r w:rsidRPr="001A1AD4">
        <w:rPr>
          <w:rFonts w:ascii="Times New Roman" w:hAnsi="Times New Roman" w:cs="Times New Roman"/>
          <w:bCs/>
          <w:sz w:val="16"/>
          <w:szCs w:val="16"/>
          <w:lang w:val="es-419"/>
        </w:rPr>
        <w:t xml:space="preserve">Mediante la Ley </w:t>
      </w:r>
      <w:proofErr w:type="spellStart"/>
      <w:r w:rsidRPr="001A1AD4">
        <w:rPr>
          <w:rFonts w:ascii="Times New Roman" w:hAnsi="Times New Roman" w:cs="Times New Roman"/>
          <w:bCs/>
          <w:sz w:val="16"/>
          <w:szCs w:val="16"/>
          <w:lang w:val="es-419"/>
        </w:rPr>
        <w:t>N°</w:t>
      </w:r>
      <w:proofErr w:type="spellEnd"/>
      <w:r w:rsidRPr="001A1AD4">
        <w:rPr>
          <w:rFonts w:ascii="Times New Roman" w:hAnsi="Times New Roman" w:cs="Times New Roman"/>
          <w:bCs/>
          <w:sz w:val="16"/>
          <w:szCs w:val="16"/>
          <w:lang w:val="es-419"/>
        </w:rPr>
        <w:t xml:space="preserve"> 30506 (Ley autoritativa</w:t>
      </w:r>
      <w:r w:rsidRPr="001A1AD4">
        <w:rPr>
          <w:rFonts w:ascii="Times New Roman" w:hAnsi="Times New Roman" w:cs="Times New Roman"/>
          <w:bCs/>
          <w:sz w:val="16"/>
          <w:szCs w:val="16"/>
        </w:rPr>
        <w:t>) el Congreso de la República delegó facultades al Ejecutivo para legislar en materia de Seguridad Ciudadana. Dicha ley autoritativa</w:t>
      </w:r>
      <w:r w:rsidRPr="002D7B1A">
        <w:rPr>
          <w:rFonts w:ascii="Times New Roman" w:hAnsi="Times New Roman" w:cs="Times New Roman"/>
          <w:bCs/>
          <w:sz w:val="16"/>
          <w:szCs w:val="16"/>
        </w:rPr>
        <w:t>, en el artículo 2, numeral 2, literal a, determinó que el Ejecutivo podría legislar en materia de seguridad ciudadana a fin de “</w:t>
      </w:r>
      <w:r w:rsidRPr="002D7B1A">
        <w:rPr>
          <w:rFonts w:ascii="Times New Roman" w:hAnsi="Times New Roman" w:cs="Times New Roman"/>
          <w:bCs/>
          <w:i/>
          <w:sz w:val="16"/>
          <w:szCs w:val="16"/>
        </w:rPr>
        <w:t xml:space="preserve">(…) </w:t>
      </w:r>
      <w:r w:rsidRPr="002D7B1A">
        <w:rPr>
          <w:rFonts w:ascii="Times New Roman" w:hAnsi="Times New Roman" w:cs="Times New Roman"/>
          <w:b/>
          <w:bCs/>
          <w:i/>
          <w:sz w:val="16"/>
          <w:szCs w:val="16"/>
        </w:rPr>
        <w:t>modificar la legislación penal y procesal penal y de ejecución penal</w:t>
      </w:r>
      <w:r w:rsidRPr="002D7B1A">
        <w:rPr>
          <w:rFonts w:ascii="Times New Roman" w:hAnsi="Times New Roman" w:cs="Times New Roman"/>
          <w:bCs/>
          <w:i/>
          <w:sz w:val="16"/>
          <w:szCs w:val="16"/>
        </w:rPr>
        <w:t xml:space="preserve"> (…) </w:t>
      </w:r>
      <w:r w:rsidRPr="002D7B1A">
        <w:rPr>
          <w:rFonts w:ascii="Times New Roman" w:hAnsi="Times New Roman" w:cs="Times New Roman"/>
          <w:b/>
          <w:bCs/>
          <w:i/>
          <w:sz w:val="16"/>
          <w:szCs w:val="16"/>
        </w:rPr>
        <w:t xml:space="preserve">para combatir </w:t>
      </w:r>
      <w:r w:rsidRPr="002D7B1A">
        <w:rPr>
          <w:rFonts w:ascii="Times New Roman" w:hAnsi="Times New Roman" w:cs="Times New Roman"/>
          <w:bCs/>
          <w:i/>
          <w:sz w:val="16"/>
          <w:szCs w:val="16"/>
        </w:rPr>
        <w:t>la violencia familiar</w:t>
      </w:r>
      <w:r w:rsidRPr="002D7B1A">
        <w:rPr>
          <w:rFonts w:ascii="Times New Roman" w:hAnsi="Times New Roman" w:cs="Times New Roman"/>
          <w:b/>
          <w:bCs/>
          <w:i/>
          <w:sz w:val="16"/>
          <w:szCs w:val="16"/>
        </w:rPr>
        <w:t xml:space="preserve"> y la violencia de género (…)</w:t>
      </w:r>
      <w:r w:rsidRPr="002D7B1A">
        <w:rPr>
          <w:rFonts w:ascii="Times New Roman" w:hAnsi="Times New Roman" w:cs="Times New Roman"/>
          <w:bCs/>
          <w:i/>
          <w:sz w:val="16"/>
          <w:szCs w:val="16"/>
        </w:rPr>
        <w:t>”.</w:t>
      </w:r>
    </w:p>
    <w:p w14:paraId="4DE221C5" w14:textId="1E63A854" w:rsidR="00961C55" w:rsidRPr="002D7B1A" w:rsidRDefault="00961C55" w:rsidP="002D7B1A">
      <w:pPr>
        <w:pStyle w:val="Textonotaalfinal"/>
        <w:contextualSpacing/>
        <w:jc w:val="both"/>
        <w:rPr>
          <w:rFonts w:ascii="Times New Roman" w:hAnsi="Times New Roman" w:cs="Times New Roman"/>
          <w:sz w:val="16"/>
          <w:szCs w:val="16"/>
          <w:lang w:val="es-PE"/>
        </w:rPr>
      </w:pPr>
      <w:r w:rsidRPr="002D7B1A">
        <w:rPr>
          <w:rFonts w:ascii="Times New Roman" w:hAnsi="Times New Roman" w:cs="Times New Roman"/>
          <w:sz w:val="16"/>
          <w:szCs w:val="16"/>
        </w:rPr>
        <w:t xml:space="preserve">Ver </w:t>
      </w:r>
      <w:proofErr w:type="spellStart"/>
      <w:r w:rsidRPr="002D7B1A">
        <w:rPr>
          <w:rFonts w:ascii="Times New Roman" w:hAnsi="Times New Roman" w:cs="Times New Roman"/>
          <w:sz w:val="16"/>
          <w:szCs w:val="16"/>
        </w:rPr>
        <w:t>en</w:t>
      </w:r>
      <w:proofErr w:type="spellEnd"/>
      <w:r w:rsidRPr="002D7B1A">
        <w:rPr>
          <w:rFonts w:ascii="Times New Roman" w:hAnsi="Times New Roman" w:cs="Times New Roman"/>
          <w:sz w:val="16"/>
          <w:szCs w:val="16"/>
        </w:rPr>
        <w:t xml:space="preserve">: </w:t>
      </w:r>
      <w:hyperlink r:id="rId6" w:history="1">
        <w:r w:rsidRPr="002D7B1A">
          <w:rPr>
            <w:rStyle w:val="Hipervnculo"/>
            <w:rFonts w:ascii="Times New Roman" w:hAnsi="Times New Roman" w:cs="Times New Roman"/>
            <w:sz w:val="16"/>
            <w:szCs w:val="16"/>
          </w:rPr>
          <w:t>http://busquedas.elperuano.com.pe/normaslegales/decreto-legislativo-que-fortalece-la-lucha-contra-el-feminic-decreto-legislativo-n-1323-1471010-2/</w:t>
        </w:r>
      </w:hyperlink>
    </w:p>
  </w:endnote>
  <w:endnote w:id="19">
    <w:p w14:paraId="7919FD57" w14:textId="70B3BAD5" w:rsidR="00961C55" w:rsidRPr="002D7B1A" w:rsidRDefault="00961C55" w:rsidP="002D7B1A">
      <w:pPr>
        <w:pStyle w:val="Sinespaciado"/>
        <w:jc w:val="both"/>
        <w:rPr>
          <w:rFonts w:ascii="Times New Roman" w:eastAsia="Cambria" w:hAnsi="Times New Roman" w:cs="Times New Roman"/>
          <w:sz w:val="16"/>
          <w:szCs w:val="16"/>
          <w:lang w:val="es-419"/>
        </w:rPr>
      </w:pPr>
      <w:r w:rsidRPr="002D7B1A">
        <w:rPr>
          <w:rFonts w:ascii="Times New Roman" w:hAnsi="Times New Roman" w:cs="Times New Roman"/>
          <w:sz w:val="16"/>
          <w:szCs w:val="16"/>
          <w:vertAlign w:val="superscript"/>
          <w:lang w:val="es-419"/>
        </w:rPr>
        <w:endnoteRef/>
      </w:r>
      <w:r w:rsidRPr="002D7B1A">
        <w:rPr>
          <w:rFonts w:ascii="Times New Roman" w:eastAsia="Cambria" w:hAnsi="Times New Roman" w:cs="Times New Roman"/>
          <w:sz w:val="16"/>
          <w:szCs w:val="16"/>
          <w:lang w:val="es-419"/>
        </w:rPr>
        <w:t xml:space="preserve"> </w:t>
      </w:r>
      <w:r w:rsidRPr="002D7B1A">
        <w:rPr>
          <w:rFonts w:ascii="Times New Roman" w:hAnsi="Times New Roman" w:cs="Times New Roman"/>
          <w:bCs/>
          <w:sz w:val="16"/>
          <w:szCs w:val="16"/>
          <w:lang w:val="es-PE"/>
        </w:rPr>
        <w:t xml:space="preserve">Se aprobó con votos del partido </w:t>
      </w:r>
      <w:proofErr w:type="spellStart"/>
      <w:r w:rsidRPr="002D7B1A">
        <w:rPr>
          <w:rFonts w:ascii="Times New Roman" w:hAnsi="Times New Roman" w:cs="Times New Roman"/>
          <w:bCs/>
          <w:sz w:val="16"/>
          <w:szCs w:val="16"/>
          <w:lang w:val="es-PE"/>
        </w:rPr>
        <w:t>fujimorita</w:t>
      </w:r>
      <w:proofErr w:type="spellEnd"/>
      <w:r w:rsidRPr="002D7B1A">
        <w:rPr>
          <w:rFonts w:ascii="Times New Roman" w:hAnsi="Times New Roman" w:cs="Times New Roman"/>
          <w:bCs/>
          <w:sz w:val="16"/>
          <w:szCs w:val="16"/>
          <w:lang w:val="es-PE"/>
        </w:rPr>
        <w:t xml:space="preserve"> el texto sustitutorio que recomienda derogar el artículo 1 del decreto legislativo 1323, en el extremo que modifica el literal d del numeral 2 del artículo 46 y del artículo 323 del Código penal.</w:t>
      </w:r>
    </w:p>
  </w:endnote>
  <w:endnote w:id="20">
    <w:p w14:paraId="1F52316A" w14:textId="770EC922" w:rsidR="008A20B2" w:rsidRPr="002D7B1A" w:rsidRDefault="008A20B2" w:rsidP="002D7B1A">
      <w:pPr>
        <w:pStyle w:val="Sinespaciado"/>
        <w:jc w:val="both"/>
        <w:rPr>
          <w:rFonts w:ascii="Times New Roman" w:hAnsi="Times New Roman" w:cs="Times New Roman"/>
          <w:sz w:val="16"/>
          <w:szCs w:val="16"/>
          <w:lang w:val="es-419"/>
        </w:rPr>
      </w:pPr>
      <w:r w:rsidRPr="002D7B1A">
        <w:rPr>
          <w:rStyle w:val="Refdenotaalfinal"/>
          <w:rFonts w:ascii="Times New Roman" w:hAnsi="Times New Roman" w:cs="Times New Roman"/>
          <w:sz w:val="16"/>
          <w:szCs w:val="16"/>
          <w:lang w:val="es-419"/>
        </w:rPr>
        <w:endnoteRef/>
      </w:r>
      <w:r w:rsidRPr="002D7B1A">
        <w:rPr>
          <w:rFonts w:ascii="Times New Roman" w:hAnsi="Times New Roman" w:cs="Times New Roman"/>
          <w:sz w:val="16"/>
          <w:szCs w:val="16"/>
          <w:lang w:val="es-419"/>
        </w:rPr>
        <w:t xml:space="preserve"> Presidencia del Consejo de Ministros. Decreto Supremo 057-2020-PCM. Lima 02 de abril de 2020. </w:t>
      </w:r>
    </w:p>
  </w:endnote>
  <w:endnote w:id="21">
    <w:p w14:paraId="052DFB4C" w14:textId="2312D6AA" w:rsidR="008A20B2" w:rsidRPr="002D7B1A" w:rsidRDefault="008A20B2" w:rsidP="002D7B1A">
      <w:pPr>
        <w:pStyle w:val="Sinespaciado"/>
        <w:jc w:val="both"/>
        <w:rPr>
          <w:rFonts w:ascii="Times New Roman" w:hAnsi="Times New Roman" w:cs="Times New Roman"/>
          <w:sz w:val="16"/>
          <w:szCs w:val="16"/>
          <w:lang w:val="es-419"/>
        </w:rPr>
      </w:pPr>
      <w:r w:rsidRPr="002D7B1A">
        <w:rPr>
          <w:rStyle w:val="Refdenotaalfinal"/>
          <w:rFonts w:ascii="Times New Roman" w:hAnsi="Times New Roman" w:cs="Times New Roman"/>
          <w:sz w:val="16"/>
          <w:szCs w:val="16"/>
          <w:lang w:val="es-419"/>
        </w:rPr>
        <w:endnoteRef/>
      </w:r>
      <w:r w:rsidRPr="002D7B1A">
        <w:rPr>
          <w:rFonts w:ascii="Times New Roman" w:hAnsi="Times New Roman" w:cs="Times New Roman"/>
          <w:sz w:val="16"/>
          <w:szCs w:val="16"/>
          <w:lang w:val="es-419"/>
        </w:rPr>
        <w:t xml:space="preserve"> </w:t>
      </w:r>
      <w:proofErr w:type="spellStart"/>
      <w:r w:rsidRPr="002D7B1A">
        <w:rPr>
          <w:rFonts w:ascii="Times New Roman" w:hAnsi="Times New Roman" w:cs="Times New Roman"/>
          <w:sz w:val="16"/>
          <w:szCs w:val="16"/>
        </w:rPr>
        <w:t>Dicha</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medida</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fue</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cancelada</w:t>
      </w:r>
      <w:proofErr w:type="spellEnd"/>
      <w:r w:rsidRPr="002D7B1A">
        <w:rPr>
          <w:rFonts w:ascii="Times New Roman" w:hAnsi="Times New Roman" w:cs="Times New Roman"/>
          <w:sz w:val="16"/>
          <w:szCs w:val="16"/>
        </w:rPr>
        <w:t xml:space="preserve"> el 10 de </w:t>
      </w:r>
      <w:proofErr w:type="spellStart"/>
      <w:r w:rsidRPr="002D7B1A">
        <w:rPr>
          <w:rFonts w:ascii="Times New Roman" w:hAnsi="Times New Roman" w:cs="Times New Roman"/>
          <w:sz w:val="16"/>
          <w:szCs w:val="16"/>
        </w:rPr>
        <w:t>maro</w:t>
      </w:r>
      <w:proofErr w:type="spellEnd"/>
      <w:r w:rsidRPr="002D7B1A">
        <w:rPr>
          <w:rFonts w:ascii="Times New Roman" w:hAnsi="Times New Roman" w:cs="Times New Roman"/>
          <w:sz w:val="16"/>
          <w:szCs w:val="16"/>
        </w:rPr>
        <w:t xml:space="preserve"> de 2020.</w:t>
      </w:r>
    </w:p>
  </w:endnote>
  <w:endnote w:id="22">
    <w:p w14:paraId="4F961610" w14:textId="6E20336B" w:rsidR="008A20B2" w:rsidRPr="002D7B1A" w:rsidRDefault="008A20B2" w:rsidP="002D7B1A">
      <w:pPr>
        <w:spacing w:after="0" w:line="240" w:lineRule="auto"/>
        <w:contextualSpacing/>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La Mala Fe. URL: </w:t>
      </w:r>
      <w:hyperlink r:id="rId7" w:history="1">
        <w:r w:rsidRPr="002D7B1A">
          <w:rPr>
            <w:rStyle w:val="Hipervnculo"/>
            <w:rFonts w:ascii="Times New Roman" w:hAnsi="Times New Roman" w:cs="Times New Roman"/>
            <w:sz w:val="16"/>
            <w:szCs w:val="16"/>
          </w:rPr>
          <w:t>https://www.lamalafe.lat/cuarentena-por-genero-expone-la-transfobia-de-las-fuerzas-del-orden-en-panama-y-peru/</w:t>
        </w:r>
      </w:hyperlink>
    </w:p>
  </w:endnote>
  <w:endnote w:id="23">
    <w:p w14:paraId="55BD6E41" w14:textId="66552281" w:rsidR="008A20B2" w:rsidRPr="002D7B1A" w:rsidRDefault="008A20B2" w:rsidP="002D7B1A">
      <w:pPr>
        <w:pStyle w:val="Sinespaciado"/>
        <w:jc w:val="both"/>
        <w:rPr>
          <w:rFonts w:ascii="Times New Roman" w:hAnsi="Times New Roman" w:cs="Times New Roman"/>
          <w:sz w:val="16"/>
          <w:szCs w:val="16"/>
          <w:lang w:val="es-419"/>
        </w:rPr>
      </w:pPr>
      <w:r w:rsidRPr="002D7B1A">
        <w:rPr>
          <w:rStyle w:val="Refdenotaalfinal"/>
          <w:rFonts w:ascii="Times New Roman" w:hAnsi="Times New Roman" w:cs="Times New Roman"/>
          <w:sz w:val="16"/>
          <w:szCs w:val="16"/>
          <w:lang w:val="es-419"/>
        </w:rPr>
        <w:endnoteRef/>
      </w:r>
      <w:r w:rsidRPr="002D7B1A">
        <w:rPr>
          <w:rFonts w:ascii="Times New Roman" w:hAnsi="Times New Roman" w:cs="Times New Roman"/>
          <w:sz w:val="16"/>
          <w:szCs w:val="16"/>
          <w:lang w:val="es-419"/>
        </w:rPr>
        <w:t xml:space="preserve"> </w:t>
      </w:r>
      <w:proofErr w:type="spellStart"/>
      <w:r w:rsidRPr="002D7B1A">
        <w:rPr>
          <w:rFonts w:ascii="Times New Roman" w:hAnsi="Times New Roman" w:cs="Times New Roman"/>
          <w:bCs/>
          <w:sz w:val="16"/>
          <w:szCs w:val="16"/>
        </w:rPr>
        <w:t>Comité</w:t>
      </w:r>
      <w:proofErr w:type="spellEnd"/>
      <w:r w:rsidRPr="002D7B1A">
        <w:rPr>
          <w:rFonts w:ascii="Times New Roman" w:hAnsi="Times New Roman" w:cs="Times New Roman"/>
          <w:bCs/>
          <w:sz w:val="16"/>
          <w:szCs w:val="16"/>
        </w:rPr>
        <w:t xml:space="preserve"> CEDAW. </w:t>
      </w:r>
      <w:proofErr w:type="spellStart"/>
      <w:r w:rsidRPr="002D7B1A">
        <w:rPr>
          <w:rFonts w:ascii="Times New Roman" w:hAnsi="Times New Roman" w:cs="Times New Roman"/>
          <w:bCs/>
          <w:sz w:val="16"/>
          <w:szCs w:val="16"/>
        </w:rPr>
        <w:t>Recomendación</w:t>
      </w:r>
      <w:proofErr w:type="spellEnd"/>
      <w:r w:rsidRPr="002D7B1A">
        <w:rPr>
          <w:rFonts w:ascii="Times New Roman" w:hAnsi="Times New Roman" w:cs="Times New Roman"/>
          <w:bCs/>
          <w:sz w:val="16"/>
          <w:szCs w:val="16"/>
        </w:rPr>
        <w:t xml:space="preserve"> final </w:t>
      </w:r>
      <w:proofErr w:type="spellStart"/>
      <w:r w:rsidRPr="002D7B1A">
        <w:rPr>
          <w:rFonts w:ascii="Times New Roman" w:hAnsi="Times New Roman" w:cs="Times New Roman"/>
          <w:bCs/>
          <w:sz w:val="16"/>
          <w:szCs w:val="16"/>
        </w:rPr>
        <w:t>en</w:t>
      </w:r>
      <w:proofErr w:type="spellEnd"/>
      <w:r w:rsidRPr="002D7B1A">
        <w:rPr>
          <w:rFonts w:ascii="Times New Roman" w:hAnsi="Times New Roman" w:cs="Times New Roman"/>
          <w:bCs/>
          <w:sz w:val="16"/>
          <w:szCs w:val="16"/>
        </w:rPr>
        <w:t xml:space="preserve"> el </w:t>
      </w:r>
      <w:proofErr w:type="spellStart"/>
      <w:r w:rsidRPr="002D7B1A">
        <w:rPr>
          <w:rFonts w:ascii="Times New Roman" w:hAnsi="Times New Roman" w:cs="Times New Roman"/>
          <w:bCs/>
          <w:sz w:val="16"/>
          <w:szCs w:val="16"/>
        </w:rPr>
        <w:t>examen</w:t>
      </w:r>
      <w:proofErr w:type="spellEnd"/>
      <w:r w:rsidRPr="002D7B1A">
        <w:rPr>
          <w:rFonts w:ascii="Times New Roman" w:hAnsi="Times New Roman" w:cs="Times New Roman"/>
          <w:bCs/>
          <w:sz w:val="16"/>
          <w:szCs w:val="16"/>
        </w:rPr>
        <w:t xml:space="preserve"> al Estado </w:t>
      </w:r>
      <w:proofErr w:type="spellStart"/>
      <w:r w:rsidRPr="002D7B1A">
        <w:rPr>
          <w:rFonts w:ascii="Times New Roman" w:hAnsi="Times New Roman" w:cs="Times New Roman"/>
          <w:bCs/>
          <w:sz w:val="16"/>
          <w:szCs w:val="16"/>
        </w:rPr>
        <w:t>peruano</w:t>
      </w:r>
      <w:proofErr w:type="spellEnd"/>
      <w:r w:rsidRPr="002D7B1A">
        <w:rPr>
          <w:rFonts w:ascii="Times New Roman" w:hAnsi="Times New Roman" w:cs="Times New Roman"/>
          <w:bCs/>
          <w:sz w:val="16"/>
          <w:szCs w:val="16"/>
        </w:rPr>
        <w:t xml:space="preserve">. </w:t>
      </w:r>
      <w:bookmarkStart w:id="3" w:name="_Hlk42598612"/>
      <w:r w:rsidRPr="002D7B1A">
        <w:rPr>
          <w:rFonts w:ascii="Times New Roman" w:hAnsi="Times New Roman" w:cs="Times New Roman"/>
          <w:bCs/>
          <w:sz w:val="16"/>
          <w:szCs w:val="16"/>
        </w:rPr>
        <w:t xml:space="preserve">58 </w:t>
      </w:r>
      <w:proofErr w:type="spellStart"/>
      <w:r w:rsidRPr="002D7B1A">
        <w:rPr>
          <w:rFonts w:ascii="Times New Roman" w:hAnsi="Times New Roman" w:cs="Times New Roman"/>
          <w:bCs/>
          <w:sz w:val="16"/>
          <w:szCs w:val="16"/>
        </w:rPr>
        <w:t>sesión</w:t>
      </w:r>
      <w:bookmarkEnd w:id="3"/>
      <w:proofErr w:type="spellEnd"/>
      <w:r w:rsidRPr="002D7B1A">
        <w:rPr>
          <w:rFonts w:ascii="Times New Roman" w:hAnsi="Times New Roman" w:cs="Times New Roman"/>
          <w:bCs/>
          <w:sz w:val="16"/>
          <w:szCs w:val="16"/>
        </w:rPr>
        <w:t xml:space="preserve">, 30 de </w:t>
      </w:r>
      <w:proofErr w:type="spellStart"/>
      <w:r w:rsidRPr="002D7B1A">
        <w:rPr>
          <w:rFonts w:ascii="Times New Roman" w:hAnsi="Times New Roman" w:cs="Times New Roman"/>
          <w:bCs/>
          <w:sz w:val="16"/>
          <w:szCs w:val="16"/>
        </w:rPr>
        <w:t>junio</w:t>
      </w:r>
      <w:proofErr w:type="spellEnd"/>
      <w:r w:rsidRPr="002D7B1A">
        <w:rPr>
          <w:rFonts w:ascii="Times New Roman" w:hAnsi="Times New Roman" w:cs="Times New Roman"/>
          <w:bCs/>
          <w:sz w:val="16"/>
          <w:szCs w:val="16"/>
        </w:rPr>
        <w:t xml:space="preserve"> al 18 de </w:t>
      </w:r>
      <w:proofErr w:type="spellStart"/>
      <w:r w:rsidRPr="002D7B1A">
        <w:rPr>
          <w:rFonts w:ascii="Times New Roman" w:hAnsi="Times New Roman" w:cs="Times New Roman"/>
          <w:bCs/>
          <w:sz w:val="16"/>
          <w:szCs w:val="16"/>
        </w:rPr>
        <w:t>julio</w:t>
      </w:r>
      <w:proofErr w:type="spellEnd"/>
      <w:r w:rsidRPr="002D7B1A">
        <w:rPr>
          <w:rFonts w:ascii="Times New Roman" w:hAnsi="Times New Roman" w:cs="Times New Roman"/>
          <w:bCs/>
          <w:sz w:val="16"/>
          <w:szCs w:val="16"/>
        </w:rPr>
        <w:t xml:space="preserve"> 2014. </w:t>
      </w:r>
      <w:proofErr w:type="spellStart"/>
      <w:r w:rsidRPr="002D7B1A">
        <w:rPr>
          <w:rFonts w:ascii="Times New Roman" w:hAnsi="Times New Roman" w:cs="Times New Roman"/>
          <w:bCs/>
          <w:sz w:val="16"/>
          <w:szCs w:val="16"/>
        </w:rPr>
        <w:t>Párrafo</w:t>
      </w:r>
      <w:proofErr w:type="spellEnd"/>
      <w:r w:rsidRPr="002D7B1A">
        <w:rPr>
          <w:rFonts w:ascii="Times New Roman" w:hAnsi="Times New Roman" w:cs="Times New Roman"/>
          <w:bCs/>
          <w:sz w:val="16"/>
          <w:szCs w:val="16"/>
        </w:rPr>
        <w:t xml:space="preserve"> 18</w:t>
      </w:r>
    </w:p>
  </w:endnote>
  <w:endnote w:id="24">
    <w:p w14:paraId="463E78E3" w14:textId="098BA46B" w:rsidR="008A20B2" w:rsidRPr="002D7B1A" w:rsidRDefault="008A20B2" w:rsidP="002D7B1A">
      <w:pPr>
        <w:pStyle w:val="Sinespaciado"/>
        <w:jc w:val="both"/>
        <w:rPr>
          <w:rFonts w:ascii="Times New Roman" w:hAnsi="Times New Roman" w:cs="Times New Roman"/>
          <w:sz w:val="16"/>
          <w:szCs w:val="16"/>
          <w:lang w:val="es-419"/>
        </w:rPr>
      </w:pPr>
      <w:r w:rsidRPr="002D7B1A">
        <w:rPr>
          <w:rStyle w:val="Refdenotaalfinal"/>
          <w:rFonts w:ascii="Times New Roman" w:hAnsi="Times New Roman" w:cs="Times New Roman"/>
          <w:sz w:val="16"/>
          <w:szCs w:val="16"/>
          <w:lang w:val="es-419"/>
        </w:rPr>
        <w:endnoteRef/>
      </w:r>
      <w:r w:rsidRPr="002D7B1A">
        <w:rPr>
          <w:rFonts w:ascii="Times New Roman" w:hAnsi="Times New Roman" w:cs="Times New Roman"/>
          <w:sz w:val="16"/>
          <w:szCs w:val="16"/>
          <w:lang w:val="es-419"/>
        </w:rPr>
        <w:t xml:space="preserve"> </w:t>
      </w:r>
      <w:proofErr w:type="spellStart"/>
      <w:r w:rsidRPr="002D7B1A">
        <w:rPr>
          <w:rFonts w:ascii="Times New Roman" w:hAnsi="Times New Roman" w:cs="Times New Roman"/>
          <w:bCs/>
          <w:sz w:val="16"/>
          <w:szCs w:val="16"/>
        </w:rPr>
        <w:t>Comité</w:t>
      </w:r>
      <w:proofErr w:type="spellEnd"/>
      <w:r w:rsidRPr="002D7B1A">
        <w:rPr>
          <w:rFonts w:ascii="Times New Roman" w:hAnsi="Times New Roman" w:cs="Times New Roman"/>
          <w:bCs/>
          <w:sz w:val="16"/>
          <w:szCs w:val="16"/>
        </w:rPr>
        <w:t xml:space="preserve"> contra la </w:t>
      </w:r>
      <w:proofErr w:type="spellStart"/>
      <w:r w:rsidRPr="002D7B1A">
        <w:rPr>
          <w:rFonts w:ascii="Times New Roman" w:hAnsi="Times New Roman" w:cs="Times New Roman"/>
          <w:bCs/>
          <w:sz w:val="16"/>
          <w:szCs w:val="16"/>
        </w:rPr>
        <w:t>Tortura</w:t>
      </w:r>
      <w:proofErr w:type="spellEnd"/>
      <w:r w:rsidRPr="002D7B1A">
        <w:rPr>
          <w:rFonts w:ascii="Times New Roman" w:hAnsi="Times New Roman" w:cs="Times New Roman"/>
          <w:bCs/>
          <w:sz w:val="16"/>
          <w:szCs w:val="16"/>
        </w:rPr>
        <w:t xml:space="preserve">. </w:t>
      </w:r>
      <w:proofErr w:type="spellStart"/>
      <w:r w:rsidRPr="002D7B1A">
        <w:rPr>
          <w:rFonts w:ascii="Times New Roman" w:hAnsi="Times New Roman" w:cs="Times New Roman"/>
          <w:bCs/>
          <w:sz w:val="16"/>
          <w:szCs w:val="16"/>
        </w:rPr>
        <w:t>Recomendación</w:t>
      </w:r>
      <w:proofErr w:type="spellEnd"/>
      <w:r w:rsidRPr="002D7B1A">
        <w:rPr>
          <w:rFonts w:ascii="Times New Roman" w:hAnsi="Times New Roman" w:cs="Times New Roman"/>
          <w:bCs/>
          <w:sz w:val="16"/>
          <w:szCs w:val="16"/>
        </w:rPr>
        <w:t xml:space="preserve"> final </w:t>
      </w:r>
      <w:proofErr w:type="spellStart"/>
      <w:r w:rsidRPr="002D7B1A">
        <w:rPr>
          <w:rFonts w:ascii="Times New Roman" w:hAnsi="Times New Roman" w:cs="Times New Roman"/>
          <w:bCs/>
          <w:sz w:val="16"/>
          <w:szCs w:val="16"/>
        </w:rPr>
        <w:t>en</w:t>
      </w:r>
      <w:proofErr w:type="spellEnd"/>
      <w:r w:rsidRPr="002D7B1A">
        <w:rPr>
          <w:rFonts w:ascii="Times New Roman" w:hAnsi="Times New Roman" w:cs="Times New Roman"/>
          <w:bCs/>
          <w:sz w:val="16"/>
          <w:szCs w:val="16"/>
        </w:rPr>
        <w:t xml:space="preserve"> el </w:t>
      </w:r>
      <w:proofErr w:type="spellStart"/>
      <w:r w:rsidRPr="002D7B1A">
        <w:rPr>
          <w:rFonts w:ascii="Times New Roman" w:hAnsi="Times New Roman" w:cs="Times New Roman"/>
          <w:bCs/>
          <w:sz w:val="16"/>
          <w:szCs w:val="16"/>
        </w:rPr>
        <w:t>examen</w:t>
      </w:r>
      <w:proofErr w:type="spellEnd"/>
      <w:r w:rsidRPr="002D7B1A">
        <w:rPr>
          <w:rFonts w:ascii="Times New Roman" w:hAnsi="Times New Roman" w:cs="Times New Roman"/>
          <w:bCs/>
          <w:sz w:val="16"/>
          <w:szCs w:val="16"/>
        </w:rPr>
        <w:t xml:space="preserve"> al Estado </w:t>
      </w:r>
      <w:proofErr w:type="spellStart"/>
      <w:r w:rsidRPr="002D7B1A">
        <w:rPr>
          <w:rFonts w:ascii="Times New Roman" w:hAnsi="Times New Roman" w:cs="Times New Roman"/>
          <w:bCs/>
          <w:sz w:val="16"/>
          <w:szCs w:val="16"/>
        </w:rPr>
        <w:t>peruano</w:t>
      </w:r>
      <w:proofErr w:type="spellEnd"/>
      <w:r w:rsidRPr="002D7B1A">
        <w:rPr>
          <w:rFonts w:ascii="Times New Roman" w:hAnsi="Times New Roman" w:cs="Times New Roman"/>
          <w:bCs/>
          <w:sz w:val="16"/>
          <w:szCs w:val="16"/>
        </w:rPr>
        <w:t xml:space="preserve">. 49 </w:t>
      </w:r>
      <w:proofErr w:type="spellStart"/>
      <w:r w:rsidRPr="002D7B1A">
        <w:rPr>
          <w:rFonts w:ascii="Times New Roman" w:hAnsi="Times New Roman" w:cs="Times New Roman"/>
          <w:bCs/>
          <w:sz w:val="16"/>
          <w:szCs w:val="16"/>
        </w:rPr>
        <w:t>sesión</w:t>
      </w:r>
      <w:proofErr w:type="spellEnd"/>
      <w:r w:rsidRPr="002D7B1A">
        <w:rPr>
          <w:rFonts w:ascii="Times New Roman" w:hAnsi="Times New Roman" w:cs="Times New Roman"/>
          <w:bCs/>
          <w:sz w:val="16"/>
          <w:szCs w:val="16"/>
        </w:rPr>
        <w:t xml:space="preserve">, 29 de </w:t>
      </w:r>
      <w:proofErr w:type="spellStart"/>
      <w:r w:rsidRPr="002D7B1A">
        <w:rPr>
          <w:rFonts w:ascii="Times New Roman" w:hAnsi="Times New Roman" w:cs="Times New Roman"/>
          <w:bCs/>
          <w:sz w:val="16"/>
          <w:szCs w:val="16"/>
        </w:rPr>
        <w:t>octubre</w:t>
      </w:r>
      <w:proofErr w:type="spellEnd"/>
      <w:r w:rsidRPr="002D7B1A">
        <w:rPr>
          <w:rFonts w:ascii="Times New Roman" w:hAnsi="Times New Roman" w:cs="Times New Roman"/>
          <w:bCs/>
          <w:sz w:val="16"/>
          <w:szCs w:val="16"/>
        </w:rPr>
        <w:t xml:space="preserve"> al 23 de </w:t>
      </w:r>
      <w:proofErr w:type="spellStart"/>
      <w:r w:rsidRPr="002D7B1A">
        <w:rPr>
          <w:rFonts w:ascii="Times New Roman" w:hAnsi="Times New Roman" w:cs="Times New Roman"/>
          <w:bCs/>
          <w:sz w:val="16"/>
          <w:szCs w:val="16"/>
        </w:rPr>
        <w:t>noviembre</w:t>
      </w:r>
      <w:proofErr w:type="spellEnd"/>
      <w:r w:rsidRPr="002D7B1A">
        <w:rPr>
          <w:rFonts w:ascii="Times New Roman" w:hAnsi="Times New Roman" w:cs="Times New Roman"/>
          <w:bCs/>
          <w:sz w:val="16"/>
          <w:szCs w:val="16"/>
        </w:rPr>
        <w:t xml:space="preserve"> de 2012. </w:t>
      </w:r>
      <w:proofErr w:type="spellStart"/>
      <w:r w:rsidRPr="002D7B1A">
        <w:rPr>
          <w:rFonts w:ascii="Times New Roman" w:hAnsi="Times New Roman" w:cs="Times New Roman"/>
          <w:bCs/>
          <w:sz w:val="16"/>
          <w:szCs w:val="16"/>
        </w:rPr>
        <w:t>Párrafo</w:t>
      </w:r>
      <w:proofErr w:type="spellEnd"/>
      <w:r w:rsidRPr="002D7B1A">
        <w:rPr>
          <w:rFonts w:ascii="Times New Roman" w:hAnsi="Times New Roman" w:cs="Times New Roman"/>
          <w:bCs/>
          <w:sz w:val="16"/>
          <w:szCs w:val="16"/>
        </w:rPr>
        <w:t xml:space="preserve"> 22</w:t>
      </w:r>
    </w:p>
  </w:endnote>
  <w:endnote w:id="25">
    <w:p w14:paraId="6F92EB87" w14:textId="47324932" w:rsidR="008A20B2" w:rsidRPr="002D7B1A" w:rsidRDefault="008A20B2" w:rsidP="002D7B1A">
      <w:pPr>
        <w:pStyle w:val="Sinespaciado"/>
        <w:jc w:val="both"/>
        <w:rPr>
          <w:rFonts w:ascii="Times New Roman" w:hAnsi="Times New Roman" w:cs="Times New Roman"/>
          <w:sz w:val="16"/>
          <w:szCs w:val="16"/>
          <w:lang w:val="es-419"/>
        </w:rPr>
      </w:pPr>
      <w:r w:rsidRPr="002D7B1A">
        <w:rPr>
          <w:rStyle w:val="Refdenotaalfinal"/>
          <w:rFonts w:ascii="Times New Roman" w:hAnsi="Times New Roman" w:cs="Times New Roman"/>
          <w:sz w:val="16"/>
          <w:szCs w:val="16"/>
          <w:lang w:val="es-419"/>
        </w:rPr>
        <w:endnoteRef/>
      </w:r>
      <w:r w:rsidRPr="002D7B1A">
        <w:rPr>
          <w:rFonts w:ascii="Times New Roman" w:hAnsi="Times New Roman" w:cs="Times New Roman"/>
          <w:sz w:val="16"/>
          <w:szCs w:val="16"/>
          <w:lang w:val="es-419"/>
        </w:rPr>
        <w:t xml:space="preserve"> </w:t>
      </w:r>
      <w:r w:rsidRPr="002D7B1A">
        <w:rPr>
          <w:rFonts w:ascii="Times New Roman" w:hAnsi="Times New Roman" w:cs="Times New Roman"/>
          <w:sz w:val="16"/>
          <w:szCs w:val="16"/>
        </w:rPr>
        <w:t xml:space="preserve">INEI. </w:t>
      </w:r>
      <w:proofErr w:type="spellStart"/>
      <w:r w:rsidRPr="002D7B1A">
        <w:rPr>
          <w:rFonts w:ascii="Times New Roman" w:hAnsi="Times New Roman" w:cs="Times New Roman"/>
          <w:sz w:val="16"/>
          <w:szCs w:val="16"/>
        </w:rPr>
        <w:t>Encuesta</w:t>
      </w:r>
      <w:proofErr w:type="spellEnd"/>
      <w:r w:rsidRPr="002D7B1A">
        <w:rPr>
          <w:rFonts w:ascii="Times New Roman" w:hAnsi="Times New Roman" w:cs="Times New Roman"/>
          <w:sz w:val="16"/>
          <w:szCs w:val="16"/>
        </w:rPr>
        <w:t xml:space="preserve"> virtual para personas LGBTI 2017. URL:  </w:t>
      </w:r>
      <w:hyperlink r:id="rId8" w:history="1">
        <w:r w:rsidRPr="002D7B1A">
          <w:rPr>
            <w:rStyle w:val="Hipervnculo"/>
            <w:rFonts w:ascii="Times New Roman" w:hAnsi="Times New Roman" w:cs="Times New Roman"/>
            <w:sz w:val="16"/>
            <w:szCs w:val="16"/>
          </w:rPr>
          <w:t>https://www.inei.gob.pe/prensa/noticias/inei-dio-a-conocer-los-resultados-de-la-primera-encuesta-virtual-para-personas-lgtbi-2017-10705/</w:t>
        </w:r>
      </w:hyperlink>
    </w:p>
  </w:endnote>
  <w:endnote w:id="26">
    <w:p w14:paraId="4C6FBA8A" w14:textId="4EF157C1" w:rsidR="008A20B2" w:rsidRPr="002D7B1A" w:rsidRDefault="008A20B2" w:rsidP="002D7B1A">
      <w:pPr>
        <w:pStyle w:val="Textonotaalfinal"/>
        <w:jc w:val="both"/>
        <w:rPr>
          <w:rFonts w:ascii="Times New Roman" w:eastAsia="Cambria" w:hAnsi="Times New Roman" w:cs="Times New Roman"/>
          <w:iCs/>
          <w:sz w:val="16"/>
          <w:szCs w:val="16"/>
          <w:lang w:val="es-419"/>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hyperlink r:id="rId9" w:history="1">
        <w:r w:rsidRPr="002D7B1A">
          <w:rPr>
            <w:rStyle w:val="Hipervnculo"/>
            <w:rFonts w:ascii="Times New Roman" w:hAnsi="Times New Roman" w:cs="Times New Roman"/>
            <w:sz w:val="16"/>
            <w:szCs w:val="16"/>
          </w:rPr>
          <w:t>https://observatorioviolencia.pe/comprendiendo-la-violencia-por-orientacion-sexual-e-identidad-de-genero/</w:t>
        </w:r>
      </w:hyperlink>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observatorio</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nacional</w:t>
      </w:r>
      <w:proofErr w:type="spellEnd"/>
      <w:r w:rsidRPr="002D7B1A">
        <w:rPr>
          <w:rFonts w:ascii="Times New Roman" w:hAnsi="Times New Roman" w:cs="Times New Roman"/>
          <w:sz w:val="16"/>
          <w:szCs w:val="16"/>
        </w:rPr>
        <w:t xml:space="preserve"> contra la </w:t>
      </w:r>
      <w:proofErr w:type="spellStart"/>
      <w:r w:rsidRPr="002D7B1A">
        <w:rPr>
          <w:rFonts w:ascii="Times New Roman" w:hAnsi="Times New Roman" w:cs="Times New Roman"/>
          <w:sz w:val="16"/>
          <w:szCs w:val="16"/>
        </w:rPr>
        <w:t>violencia</w:t>
      </w:r>
      <w:proofErr w:type="spellEnd"/>
      <w:r w:rsidRPr="002D7B1A">
        <w:rPr>
          <w:rFonts w:ascii="Times New Roman" w:hAnsi="Times New Roman" w:cs="Times New Roman"/>
          <w:sz w:val="16"/>
          <w:szCs w:val="16"/>
        </w:rPr>
        <w:t xml:space="preserve"> familiar y sexual</w:t>
      </w:r>
    </w:p>
  </w:endnote>
  <w:endnote w:id="27">
    <w:p w14:paraId="1045522F" w14:textId="77777777" w:rsidR="002F21B2" w:rsidRPr="002D7B1A" w:rsidRDefault="002F21B2" w:rsidP="002F21B2">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proofErr w:type="spellStart"/>
      <w:r w:rsidRPr="002D7B1A">
        <w:rPr>
          <w:rFonts w:ascii="Times New Roman" w:hAnsi="Times New Roman" w:cs="Times New Roman"/>
          <w:sz w:val="16"/>
          <w:szCs w:val="16"/>
        </w:rPr>
        <w:t>Ministerio</w:t>
      </w:r>
      <w:proofErr w:type="spellEnd"/>
      <w:r w:rsidRPr="002D7B1A">
        <w:rPr>
          <w:rFonts w:ascii="Times New Roman" w:hAnsi="Times New Roman" w:cs="Times New Roman"/>
          <w:sz w:val="16"/>
          <w:szCs w:val="16"/>
        </w:rPr>
        <w:t xml:space="preserve"> de la </w:t>
      </w:r>
      <w:proofErr w:type="spellStart"/>
      <w:r w:rsidRPr="002D7B1A">
        <w:rPr>
          <w:rFonts w:ascii="Times New Roman" w:hAnsi="Times New Roman" w:cs="Times New Roman"/>
          <w:sz w:val="16"/>
          <w:szCs w:val="16"/>
        </w:rPr>
        <w:t>Mujer</w:t>
      </w:r>
      <w:proofErr w:type="spellEnd"/>
      <w:r w:rsidRPr="002D7B1A">
        <w:rPr>
          <w:rFonts w:ascii="Times New Roman" w:hAnsi="Times New Roman" w:cs="Times New Roman"/>
          <w:sz w:val="16"/>
          <w:szCs w:val="16"/>
        </w:rPr>
        <w:t xml:space="preserve"> y </w:t>
      </w:r>
      <w:proofErr w:type="spellStart"/>
      <w:r w:rsidRPr="002D7B1A">
        <w:rPr>
          <w:rFonts w:ascii="Times New Roman" w:hAnsi="Times New Roman" w:cs="Times New Roman"/>
          <w:sz w:val="16"/>
          <w:szCs w:val="16"/>
        </w:rPr>
        <w:t>Poblaciones</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Vulnerables</w:t>
      </w:r>
      <w:proofErr w:type="spellEnd"/>
      <w:r w:rsidRPr="002D7B1A">
        <w:rPr>
          <w:rFonts w:ascii="Times New Roman" w:hAnsi="Times New Roman" w:cs="Times New Roman"/>
          <w:sz w:val="16"/>
          <w:szCs w:val="16"/>
        </w:rPr>
        <w:t xml:space="preserve"> (MIMP), </w:t>
      </w:r>
      <w:hyperlink r:id="rId10" w:history="1">
        <w:proofErr w:type="spellStart"/>
        <w:r w:rsidRPr="002D7B1A">
          <w:rPr>
            <w:rStyle w:val="Hipervnculo"/>
            <w:rFonts w:ascii="Times New Roman" w:hAnsi="Times New Roman" w:cs="Times New Roman"/>
            <w:sz w:val="16"/>
            <w:szCs w:val="16"/>
          </w:rPr>
          <w:t>Boletín</w:t>
        </w:r>
        <w:proofErr w:type="spellEnd"/>
        <w:r w:rsidRPr="002D7B1A">
          <w:rPr>
            <w:rStyle w:val="Hipervnculo"/>
            <w:rFonts w:ascii="Times New Roman" w:hAnsi="Times New Roman" w:cs="Times New Roman"/>
            <w:sz w:val="16"/>
            <w:szCs w:val="16"/>
          </w:rPr>
          <w:t xml:space="preserve"> </w:t>
        </w:r>
        <w:proofErr w:type="spellStart"/>
        <w:r w:rsidRPr="002D7B1A">
          <w:rPr>
            <w:rStyle w:val="Hipervnculo"/>
            <w:rFonts w:ascii="Times New Roman" w:hAnsi="Times New Roman" w:cs="Times New Roman"/>
            <w:sz w:val="16"/>
            <w:szCs w:val="16"/>
          </w:rPr>
          <w:t>Estadístico</w:t>
        </w:r>
        <w:proofErr w:type="spellEnd"/>
        <w:r w:rsidRPr="002D7B1A">
          <w:rPr>
            <w:rStyle w:val="Hipervnculo"/>
            <w:rFonts w:ascii="Times New Roman" w:hAnsi="Times New Roman" w:cs="Times New Roman"/>
            <w:sz w:val="16"/>
            <w:szCs w:val="16"/>
          </w:rPr>
          <w:t xml:space="preserve"> 2018</w:t>
        </w:r>
      </w:hyperlink>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Reporte</w:t>
      </w:r>
      <w:proofErr w:type="spellEnd"/>
      <w:r w:rsidRPr="002D7B1A">
        <w:rPr>
          <w:rFonts w:ascii="Times New Roman" w:hAnsi="Times New Roman" w:cs="Times New Roman"/>
          <w:sz w:val="16"/>
          <w:szCs w:val="16"/>
        </w:rPr>
        <w:t xml:space="preserve"> de </w:t>
      </w:r>
      <w:proofErr w:type="spellStart"/>
      <w:r w:rsidRPr="002D7B1A">
        <w:rPr>
          <w:rFonts w:ascii="Times New Roman" w:hAnsi="Times New Roman" w:cs="Times New Roman"/>
          <w:sz w:val="16"/>
          <w:szCs w:val="16"/>
        </w:rPr>
        <w:t>casos</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atendidos</w:t>
      </w:r>
      <w:proofErr w:type="spellEnd"/>
      <w:r w:rsidRPr="002D7B1A">
        <w:rPr>
          <w:rFonts w:ascii="Times New Roman" w:hAnsi="Times New Roman" w:cs="Times New Roman"/>
          <w:sz w:val="16"/>
          <w:szCs w:val="16"/>
        </w:rPr>
        <w:t xml:space="preserve"> a personas </w:t>
      </w:r>
      <w:proofErr w:type="spellStart"/>
      <w:r w:rsidRPr="002D7B1A">
        <w:rPr>
          <w:rFonts w:ascii="Times New Roman" w:hAnsi="Times New Roman" w:cs="Times New Roman"/>
          <w:sz w:val="16"/>
          <w:szCs w:val="16"/>
        </w:rPr>
        <w:t>afectadas</w:t>
      </w:r>
      <w:proofErr w:type="spellEnd"/>
      <w:r w:rsidRPr="002D7B1A">
        <w:rPr>
          <w:rFonts w:ascii="Times New Roman" w:hAnsi="Times New Roman" w:cs="Times New Roman"/>
          <w:sz w:val="16"/>
          <w:szCs w:val="16"/>
        </w:rPr>
        <w:t xml:space="preserve"> por </w:t>
      </w:r>
      <w:proofErr w:type="spellStart"/>
      <w:r w:rsidRPr="002D7B1A">
        <w:rPr>
          <w:rFonts w:ascii="Times New Roman" w:hAnsi="Times New Roman" w:cs="Times New Roman"/>
          <w:sz w:val="16"/>
          <w:szCs w:val="16"/>
        </w:rPr>
        <w:t>hechos</w:t>
      </w:r>
      <w:proofErr w:type="spellEnd"/>
      <w:r w:rsidRPr="002D7B1A">
        <w:rPr>
          <w:rFonts w:ascii="Times New Roman" w:hAnsi="Times New Roman" w:cs="Times New Roman"/>
          <w:sz w:val="16"/>
          <w:szCs w:val="16"/>
        </w:rPr>
        <w:t xml:space="preserve"> de </w:t>
      </w:r>
      <w:proofErr w:type="spellStart"/>
      <w:r w:rsidRPr="002D7B1A">
        <w:rPr>
          <w:rFonts w:ascii="Times New Roman" w:hAnsi="Times New Roman" w:cs="Times New Roman"/>
          <w:sz w:val="16"/>
          <w:szCs w:val="16"/>
        </w:rPr>
        <w:t>violencia</w:t>
      </w:r>
      <w:proofErr w:type="spellEnd"/>
      <w:r w:rsidRPr="002D7B1A">
        <w:rPr>
          <w:rFonts w:ascii="Times New Roman" w:hAnsi="Times New Roman" w:cs="Times New Roman"/>
          <w:sz w:val="16"/>
          <w:szCs w:val="16"/>
        </w:rPr>
        <w:t xml:space="preserve"> contra las personas LGBTI </w:t>
      </w:r>
      <w:proofErr w:type="spellStart"/>
      <w:r w:rsidRPr="002D7B1A">
        <w:rPr>
          <w:rFonts w:ascii="Times New Roman" w:hAnsi="Times New Roman" w:cs="Times New Roman"/>
          <w:sz w:val="16"/>
          <w:szCs w:val="16"/>
        </w:rPr>
        <w:t>en</w:t>
      </w:r>
      <w:proofErr w:type="spellEnd"/>
      <w:r w:rsidRPr="002D7B1A">
        <w:rPr>
          <w:rFonts w:ascii="Times New Roman" w:hAnsi="Times New Roman" w:cs="Times New Roman"/>
          <w:sz w:val="16"/>
          <w:szCs w:val="16"/>
        </w:rPr>
        <w:t xml:space="preserve"> los CEM a </w:t>
      </w:r>
      <w:proofErr w:type="spellStart"/>
      <w:r w:rsidRPr="002D7B1A">
        <w:rPr>
          <w:rFonts w:ascii="Times New Roman" w:hAnsi="Times New Roman" w:cs="Times New Roman"/>
          <w:sz w:val="16"/>
          <w:szCs w:val="16"/>
        </w:rPr>
        <w:t>nivel</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nacional</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periodo</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enero</w:t>
      </w:r>
      <w:proofErr w:type="spellEnd"/>
      <w:r w:rsidRPr="002D7B1A">
        <w:rPr>
          <w:rFonts w:ascii="Times New Roman" w:hAnsi="Times New Roman" w:cs="Times New Roman"/>
          <w:sz w:val="16"/>
          <w:szCs w:val="16"/>
        </w:rPr>
        <w:t xml:space="preserve"> a </w:t>
      </w:r>
      <w:proofErr w:type="spellStart"/>
      <w:r w:rsidRPr="002D7B1A">
        <w:rPr>
          <w:rFonts w:ascii="Times New Roman" w:hAnsi="Times New Roman" w:cs="Times New Roman"/>
          <w:sz w:val="16"/>
          <w:szCs w:val="16"/>
        </w:rPr>
        <w:t>diciembre</w:t>
      </w:r>
      <w:proofErr w:type="spellEnd"/>
      <w:r w:rsidRPr="002D7B1A">
        <w:rPr>
          <w:rFonts w:ascii="Times New Roman" w:hAnsi="Times New Roman" w:cs="Times New Roman"/>
          <w:sz w:val="16"/>
          <w:szCs w:val="16"/>
        </w:rPr>
        <w:t xml:space="preserve"> 2018.</w:t>
      </w:r>
    </w:p>
  </w:endnote>
  <w:endnote w:id="28">
    <w:p w14:paraId="4E6E9B82" w14:textId="77777777" w:rsidR="002F21B2" w:rsidRPr="002D7B1A" w:rsidRDefault="002F21B2" w:rsidP="002F21B2">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Portal </w:t>
      </w:r>
      <w:proofErr w:type="spellStart"/>
      <w:r w:rsidRPr="002D7B1A">
        <w:rPr>
          <w:rFonts w:ascii="Times New Roman" w:hAnsi="Times New Roman" w:cs="Times New Roman"/>
          <w:sz w:val="16"/>
          <w:szCs w:val="16"/>
        </w:rPr>
        <w:t>Estadístico</w:t>
      </w:r>
      <w:proofErr w:type="spellEnd"/>
      <w:r w:rsidRPr="002D7B1A">
        <w:rPr>
          <w:rFonts w:ascii="Times New Roman" w:hAnsi="Times New Roman" w:cs="Times New Roman"/>
          <w:sz w:val="16"/>
          <w:szCs w:val="16"/>
        </w:rPr>
        <w:t xml:space="preserve">, (2019), </w:t>
      </w:r>
      <w:hyperlink r:id="rId11" w:history="1">
        <w:r w:rsidRPr="002D7B1A">
          <w:rPr>
            <w:rStyle w:val="Hipervnculo"/>
            <w:rFonts w:ascii="Times New Roman" w:hAnsi="Times New Roman" w:cs="Times New Roman"/>
            <w:sz w:val="16"/>
            <w:szCs w:val="16"/>
            <w:lang w:val="es-PE"/>
          </w:rPr>
          <w:t>https://portalestadistico.pe/tipos-de-poblacion-2019/</w:t>
        </w:r>
      </w:hyperlink>
    </w:p>
  </w:endnote>
  <w:endnote w:id="29">
    <w:p w14:paraId="4C31C8D4" w14:textId="4938A83F" w:rsidR="008A20B2" w:rsidRPr="002D7B1A" w:rsidRDefault="008A20B2" w:rsidP="002D7B1A">
      <w:pPr>
        <w:pStyle w:val="Textonotaalfinal"/>
        <w:contextualSpacing/>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hyperlink r:id="rId12" w:history="1">
        <w:r w:rsidRPr="002D7B1A">
          <w:rPr>
            <w:rStyle w:val="Hipervnculo"/>
            <w:rFonts w:ascii="Times New Roman" w:hAnsi="Times New Roman" w:cs="Times New Roman"/>
            <w:sz w:val="16"/>
            <w:szCs w:val="16"/>
          </w:rPr>
          <w:t>https://observatorioviolencia.pe/comprendiendo-la-violencia-por-orientacion-sexual-e-identidad-de-genero/</w:t>
        </w:r>
      </w:hyperlink>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observatorio</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nacional</w:t>
      </w:r>
      <w:proofErr w:type="spellEnd"/>
      <w:r w:rsidRPr="002D7B1A">
        <w:rPr>
          <w:rFonts w:ascii="Times New Roman" w:hAnsi="Times New Roman" w:cs="Times New Roman"/>
          <w:sz w:val="16"/>
          <w:szCs w:val="16"/>
        </w:rPr>
        <w:t xml:space="preserve"> contra la </w:t>
      </w:r>
      <w:proofErr w:type="spellStart"/>
      <w:r w:rsidRPr="002D7B1A">
        <w:rPr>
          <w:rFonts w:ascii="Times New Roman" w:hAnsi="Times New Roman" w:cs="Times New Roman"/>
          <w:sz w:val="16"/>
          <w:szCs w:val="16"/>
        </w:rPr>
        <w:t>violencia</w:t>
      </w:r>
      <w:proofErr w:type="spellEnd"/>
      <w:r w:rsidRPr="002D7B1A">
        <w:rPr>
          <w:rFonts w:ascii="Times New Roman" w:hAnsi="Times New Roman" w:cs="Times New Roman"/>
          <w:sz w:val="16"/>
          <w:szCs w:val="16"/>
        </w:rPr>
        <w:t xml:space="preserve"> familiar y sexual</w:t>
      </w:r>
      <w:r w:rsidRPr="002D7B1A">
        <w:rPr>
          <w:rFonts w:ascii="Times New Roman" w:hAnsi="Times New Roman" w:cs="Times New Roman"/>
          <w:sz w:val="16"/>
          <w:szCs w:val="16"/>
          <w:lang w:val="es-CO"/>
        </w:rPr>
        <w:t xml:space="preserve"> </w:t>
      </w:r>
    </w:p>
  </w:endnote>
  <w:endnote w:id="30">
    <w:p w14:paraId="388A9F48" w14:textId="77777777" w:rsidR="00310971" w:rsidRPr="002D7B1A" w:rsidRDefault="00310971" w:rsidP="00310971">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PROMSEX, </w:t>
      </w:r>
      <w:hyperlink r:id="rId13" w:history="1">
        <w:r w:rsidRPr="002D7B1A">
          <w:rPr>
            <w:rStyle w:val="Hipervnculo"/>
            <w:rFonts w:ascii="Times New Roman" w:hAnsi="Times New Roman" w:cs="Times New Roman"/>
            <w:sz w:val="16"/>
            <w:szCs w:val="16"/>
          </w:rPr>
          <w:t xml:space="preserve">Informe </w:t>
        </w:r>
        <w:proofErr w:type="spellStart"/>
        <w:r w:rsidRPr="002D7B1A">
          <w:rPr>
            <w:rStyle w:val="Hipervnculo"/>
            <w:rFonts w:ascii="Times New Roman" w:hAnsi="Times New Roman" w:cs="Times New Roman"/>
            <w:sz w:val="16"/>
            <w:szCs w:val="16"/>
          </w:rPr>
          <w:t>Temático</w:t>
        </w:r>
        <w:proofErr w:type="spellEnd"/>
        <w:r w:rsidRPr="002D7B1A">
          <w:rPr>
            <w:rStyle w:val="Hipervnculo"/>
            <w:rFonts w:ascii="Times New Roman" w:hAnsi="Times New Roman" w:cs="Times New Roman"/>
            <w:sz w:val="16"/>
            <w:szCs w:val="16"/>
          </w:rPr>
          <w:t xml:space="preserve"> LGBTI 2018: Derecho a la </w:t>
        </w:r>
        <w:proofErr w:type="spellStart"/>
        <w:r w:rsidRPr="002D7B1A">
          <w:rPr>
            <w:rStyle w:val="Hipervnculo"/>
            <w:rFonts w:ascii="Times New Roman" w:hAnsi="Times New Roman" w:cs="Times New Roman"/>
            <w:sz w:val="16"/>
            <w:szCs w:val="16"/>
          </w:rPr>
          <w:t>igualdad</w:t>
        </w:r>
        <w:proofErr w:type="spellEnd"/>
        <w:r w:rsidRPr="002D7B1A">
          <w:rPr>
            <w:rStyle w:val="Hipervnculo"/>
            <w:rFonts w:ascii="Times New Roman" w:hAnsi="Times New Roman" w:cs="Times New Roman"/>
            <w:sz w:val="16"/>
            <w:szCs w:val="16"/>
          </w:rPr>
          <w:t xml:space="preserve"> de las personas LGBT </w:t>
        </w:r>
        <w:proofErr w:type="spellStart"/>
        <w:r w:rsidRPr="002D7B1A">
          <w:rPr>
            <w:rStyle w:val="Hipervnculo"/>
            <w:rFonts w:ascii="Times New Roman" w:hAnsi="Times New Roman" w:cs="Times New Roman"/>
            <w:sz w:val="16"/>
            <w:szCs w:val="16"/>
          </w:rPr>
          <w:t>en</w:t>
        </w:r>
        <w:proofErr w:type="spellEnd"/>
        <w:r w:rsidRPr="002D7B1A">
          <w:rPr>
            <w:rStyle w:val="Hipervnculo"/>
            <w:rFonts w:ascii="Times New Roman" w:hAnsi="Times New Roman" w:cs="Times New Roman"/>
            <w:sz w:val="16"/>
            <w:szCs w:val="16"/>
          </w:rPr>
          <w:t xml:space="preserve"> el Perú: </w:t>
        </w:r>
        <w:proofErr w:type="spellStart"/>
        <w:r w:rsidRPr="002D7B1A">
          <w:rPr>
            <w:rStyle w:val="Hipervnculo"/>
            <w:rFonts w:ascii="Times New Roman" w:hAnsi="Times New Roman" w:cs="Times New Roman"/>
            <w:sz w:val="16"/>
            <w:szCs w:val="16"/>
          </w:rPr>
          <w:t>Perspectivas</w:t>
        </w:r>
        <w:proofErr w:type="spellEnd"/>
        <w:r w:rsidRPr="002D7B1A">
          <w:rPr>
            <w:rStyle w:val="Hipervnculo"/>
            <w:rFonts w:ascii="Times New Roman" w:hAnsi="Times New Roman" w:cs="Times New Roman"/>
            <w:sz w:val="16"/>
            <w:szCs w:val="16"/>
          </w:rPr>
          <w:t xml:space="preserve"> </w:t>
        </w:r>
        <w:proofErr w:type="spellStart"/>
        <w:r w:rsidRPr="002D7B1A">
          <w:rPr>
            <w:rStyle w:val="Hipervnculo"/>
            <w:rFonts w:ascii="Times New Roman" w:hAnsi="Times New Roman" w:cs="Times New Roman"/>
            <w:sz w:val="16"/>
            <w:szCs w:val="16"/>
          </w:rPr>
          <w:t>jurídicas</w:t>
        </w:r>
        <w:proofErr w:type="spellEnd"/>
        <w:r w:rsidRPr="002D7B1A">
          <w:rPr>
            <w:rStyle w:val="Hipervnculo"/>
            <w:rFonts w:ascii="Times New Roman" w:hAnsi="Times New Roman" w:cs="Times New Roman"/>
            <w:sz w:val="16"/>
            <w:szCs w:val="16"/>
          </w:rPr>
          <w:t xml:space="preserve"> y </w:t>
        </w:r>
        <w:proofErr w:type="spellStart"/>
        <w:r w:rsidRPr="002D7B1A">
          <w:rPr>
            <w:rStyle w:val="Hipervnculo"/>
            <w:rFonts w:ascii="Times New Roman" w:hAnsi="Times New Roman" w:cs="Times New Roman"/>
            <w:sz w:val="16"/>
            <w:szCs w:val="16"/>
          </w:rPr>
          <w:t>políticas</w:t>
        </w:r>
        <w:proofErr w:type="spellEnd"/>
        <w:r w:rsidRPr="002D7B1A">
          <w:rPr>
            <w:rStyle w:val="Hipervnculo"/>
            <w:rFonts w:ascii="Times New Roman" w:hAnsi="Times New Roman" w:cs="Times New Roman"/>
            <w:sz w:val="16"/>
            <w:szCs w:val="16"/>
          </w:rPr>
          <w:t>,</w:t>
        </w:r>
      </w:hyperlink>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marzo</w:t>
      </w:r>
      <w:proofErr w:type="spellEnd"/>
      <w:r w:rsidRPr="002D7B1A">
        <w:rPr>
          <w:rFonts w:ascii="Times New Roman" w:hAnsi="Times New Roman" w:cs="Times New Roman"/>
          <w:sz w:val="16"/>
          <w:szCs w:val="16"/>
        </w:rPr>
        <w:t xml:space="preserve"> de 2018.</w:t>
      </w:r>
    </w:p>
  </w:endnote>
  <w:endnote w:id="31">
    <w:p w14:paraId="04D25B1C" w14:textId="11EC5047" w:rsidR="008A20B2" w:rsidRPr="002D7B1A" w:rsidRDefault="008A20B2"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proofErr w:type="spellStart"/>
      <w:r w:rsidRPr="002D7B1A">
        <w:rPr>
          <w:rFonts w:ascii="Times New Roman" w:hAnsi="Times New Roman" w:cs="Times New Roman"/>
          <w:sz w:val="16"/>
          <w:szCs w:val="16"/>
        </w:rPr>
        <w:t>Décimo</w:t>
      </w:r>
      <w:proofErr w:type="spellEnd"/>
      <w:r w:rsidRPr="002D7B1A">
        <w:rPr>
          <w:rFonts w:ascii="Times New Roman" w:hAnsi="Times New Roman" w:cs="Times New Roman"/>
          <w:sz w:val="16"/>
          <w:szCs w:val="16"/>
        </w:rPr>
        <w:t xml:space="preserve"> Primer </w:t>
      </w:r>
      <w:proofErr w:type="spellStart"/>
      <w:r w:rsidRPr="002D7B1A">
        <w:rPr>
          <w:rFonts w:ascii="Times New Roman" w:hAnsi="Times New Roman" w:cs="Times New Roman"/>
          <w:sz w:val="16"/>
          <w:szCs w:val="16"/>
        </w:rPr>
        <w:t>Juzgado</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Constitucional</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Expediente</w:t>
      </w:r>
      <w:proofErr w:type="spellEnd"/>
      <w:r w:rsidRPr="002D7B1A">
        <w:rPr>
          <w:rFonts w:ascii="Times New Roman" w:hAnsi="Times New Roman" w:cs="Times New Roman"/>
          <w:sz w:val="16"/>
          <w:szCs w:val="16"/>
        </w:rPr>
        <w:t xml:space="preserve"> N° 10776-2017. RESOLUCIÓN OCHO.</w:t>
      </w:r>
    </w:p>
  </w:endnote>
  <w:endnote w:id="32">
    <w:p w14:paraId="783DE8F5" w14:textId="77777777" w:rsidR="002C3D6D" w:rsidRPr="002D7B1A" w:rsidRDefault="002C3D6D" w:rsidP="002D7B1A">
      <w:pPr>
        <w:pStyle w:val="Textonotaalfinal"/>
        <w:jc w:val="both"/>
        <w:rPr>
          <w:rFonts w:ascii="Times New Roman" w:hAnsi="Times New Roman" w:cs="Times New Roman"/>
          <w:sz w:val="16"/>
          <w:szCs w:val="16"/>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MINJUS-CONACOD. URL: </w:t>
      </w:r>
    </w:p>
    <w:p w14:paraId="06D50303" w14:textId="27BE6F10" w:rsidR="002C3D6D" w:rsidRPr="002D7B1A" w:rsidRDefault="007D599A" w:rsidP="002D7B1A">
      <w:pPr>
        <w:pStyle w:val="Textonotaalfinal"/>
        <w:jc w:val="both"/>
        <w:rPr>
          <w:rFonts w:ascii="Times New Roman" w:hAnsi="Times New Roman" w:cs="Times New Roman"/>
          <w:sz w:val="16"/>
          <w:szCs w:val="16"/>
          <w:lang w:val="es-ES"/>
        </w:rPr>
      </w:pPr>
      <w:hyperlink r:id="rId14" w:history="1">
        <w:r w:rsidR="002D7B1A" w:rsidRPr="002D7B1A">
          <w:rPr>
            <w:rStyle w:val="Hipervnculo"/>
            <w:rFonts w:ascii="Times New Roman" w:hAnsi="Times New Roman" w:cs="Times New Roman"/>
            <w:sz w:val="16"/>
            <w:szCs w:val="16"/>
          </w:rPr>
          <w:t>https://observatorioderechoshumanos.minjus.gob.pe/wp-content/uploads/2019/03/Informe_CONACOD_Identidad_de_G%C3%A9nero.pdf</w:t>
        </w:r>
      </w:hyperlink>
    </w:p>
  </w:endnote>
  <w:endnote w:id="33">
    <w:p w14:paraId="23451777" w14:textId="08B0A20C" w:rsidR="002D7B1A" w:rsidRPr="002D7B1A" w:rsidRDefault="002D7B1A" w:rsidP="002D7B1A">
      <w:pPr>
        <w:pStyle w:val="Textonotaalfinal"/>
        <w:jc w:val="both"/>
        <w:rPr>
          <w:rFonts w:ascii="Times New Roman" w:hAnsi="Times New Roman" w:cs="Times New Roman"/>
          <w:sz w:val="16"/>
          <w:szCs w:val="16"/>
          <w:lang w:val="es-ES"/>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w:t>
      </w:r>
      <w:proofErr w:type="spellStart"/>
      <w:r w:rsidRPr="002D7B1A">
        <w:rPr>
          <w:rFonts w:ascii="Times New Roman" w:hAnsi="Times New Roman" w:cs="Times New Roman"/>
          <w:sz w:val="16"/>
          <w:szCs w:val="16"/>
        </w:rPr>
        <w:t>Artículo</w:t>
      </w:r>
      <w:proofErr w:type="spellEnd"/>
      <w:r w:rsidRPr="002D7B1A">
        <w:rPr>
          <w:rFonts w:ascii="Times New Roman" w:hAnsi="Times New Roman" w:cs="Times New Roman"/>
          <w:sz w:val="16"/>
          <w:szCs w:val="16"/>
        </w:rPr>
        <w:t xml:space="preserve"> 29: CC: </w:t>
      </w:r>
      <w:proofErr w:type="spellStart"/>
      <w:r w:rsidRPr="002D7B1A">
        <w:rPr>
          <w:rFonts w:ascii="Times New Roman" w:hAnsi="Times New Roman" w:cs="Times New Roman"/>
          <w:sz w:val="16"/>
          <w:szCs w:val="16"/>
        </w:rPr>
        <w:t>Nadie</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puede</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cambiar</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su</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nombre</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ni</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hacerle</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adiciones</w:t>
      </w:r>
      <w:proofErr w:type="spellEnd"/>
      <w:r w:rsidRPr="002D7B1A">
        <w:rPr>
          <w:rFonts w:ascii="Times New Roman" w:hAnsi="Times New Roman" w:cs="Times New Roman"/>
          <w:sz w:val="16"/>
          <w:szCs w:val="16"/>
        </w:rPr>
        <w:t xml:space="preserve">, salvo por </w:t>
      </w:r>
      <w:proofErr w:type="spellStart"/>
      <w:r w:rsidRPr="002D7B1A">
        <w:rPr>
          <w:rFonts w:ascii="Times New Roman" w:hAnsi="Times New Roman" w:cs="Times New Roman"/>
          <w:sz w:val="16"/>
          <w:szCs w:val="16"/>
        </w:rPr>
        <w:t>motivos</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justificados</w:t>
      </w:r>
      <w:proofErr w:type="spellEnd"/>
      <w:r w:rsidRPr="002D7B1A">
        <w:rPr>
          <w:rFonts w:ascii="Times New Roman" w:hAnsi="Times New Roman" w:cs="Times New Roman"/>
          <w:sz w:val="16"/>
          <w:szCs w:val="16"/>
        </w:rPr>
        <w:t xml:space="preserve"> y </w:t>
      </w:r>
      <w:proofErr w:type="spellStart"/>
      <w:r w:rsidRPr="002D7B1A">
        <w:rPr>
          <w:rFonts w:ascii="Times New Roman" w:hAnsi="Times New Roman" w:cs="Times New Roman"/>
          <w:sz w:val="16"/>
          <w:szCs w:val="16"/>
        </w:rPr>
        <w:t>mediante</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autorización</w:t>
      </w:r>
      <w:proofErr w:type="spellEnd"/>
      <w:r w:rsidRPr="002D7B1A">
        <w:rPr>
          <w:rFonts w:ascii="Times New Roman" w:hAnsi="Times New Roman" w:cs="Times New Roman"/>
          <w:sz w:val="16"/>
          <w:szCs w:val="16"/>
        </w:rPr>
        <w:t xml:space="preserve"> judicial, </w:t>
      </w:r>
      <w:proofErr w:type="spellStart"/>
      <w:r w:rsidRPr="002D7B1A">
        <w:rPr>
          <w:rFonts w:ascii="Times New Roman" w:hAnsi="Times New Roman" w:cs="Times New Roman"/>
          <w:sz w:val="16"/>
          <w:szCs w:val="16"/>
        </w:rPr>
        <w:t>debidamente</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publicada</w:t>
      </w:r>
      <w:proofErr w:type="spellEnd"/>
      <w:r w:rsidRPr="002D7B1A">
        <w:rPr>
          <w:rFonts w:ascii="Times New Roman" w:hAnsi="Times New Roman" w:cs="Times New Roman"/>
          <w:sz w:val="16"/>
          <w:szCs w:val="16"/>
        </w:rPr>
        <w:t xml:space="preserve"> e </w:t>
      </w:r>
      <w:proofErr w:type="spellStart"/>
      <w:r w:rsidRPr="002D7B1A">
        <w:rPr>
          <w:rFonts w:ascii="Times New Roman" w:hAnsi="Times New Roman" w:cs="Times New Roman"/>
          <w:sz w:val="16"/>
          <w:szCs w:val="16"/>
        </w:rPr>
        <w:t>inscrita</w:t>
      </w:r>
      <w:proofErr w:type="spellEnd"/>
      <w:r w:rsidRPr="002D7B1A">
        <w:rPr>
          <w:rFonts w:ascii="Times New Roman" w:hAnsi="Times New Roman" w:cs="Times New Roman"/>
          <w:sz w:val="16"/>
          <w:szCs w:val="16"/>
        </w:rPr>
        <w:t>.</w:t>
      </w:r>
    </w:p>
  </w:endnote>
  <w:endnote w:id="34">
    <w:p w14:paraId="4DAEB57A" w14:textId="7FFCCE34" w:rsidR="002D7B1A" w:rsidRPr="002D7B1A" w:rsidRDefault="002D7B1A"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MINJUS. Ibid. Este Informe </w:t>
      </w:r>
      <w:proofErr w:type="spellStart"/>
      <w:r w:rsidRPr="002D7B1A">
        <w:rPr>
          <w:rFonts w:ascii="Times New Roman" w:hAnsi="Times New Roman" w:cs="Times New Roman"/>
          <w:sz w:val="16"/>
          <w:szCs w:val="16"/>
        </w:rPr>
        <w:t>responde</w:t>
      </w:r>
      <w:proofErr w:type="spellEnd"/>
      <w:r w:rsidRPr="002D7B1A">
        <w:rPr>
          <w:rFonts w:ascii="Times New Roman" w:hAnsi="Times New Roman" w:cs="Times New Roman"/>
          <w:sz w:val="16"/>
          <w:szCs w:val="16"/>
        </w:rPr>
        <w:t xml:space="preserve"> al </w:t>
      </w:r>
      <w:proofErr w:type="spellStart"/>
      <w:r w:rsidRPr="002D7B1A">
        <w:rPr>
          <w:rFonts w:ascii="Times New Roman" w:hAnsi="Times New Roman" w:cs="Times New Roman"/>
          <w:sz w:val="16"/>
          <w:szCs w:val="16"/>
        </w:rPr>
        <w:t>cumplimiento</w:t>
      </w:r>
      <w:proofErr w:type="spellEnd"/>
      <w:r w:rsidRPr="002D7B1A">
        <w:rPr>
          <w:rFonts w:ascii="Times New Roman" w:hAnsi="Times New Roman" w:cs="Times New Roman"/>
          <w:sz w:val="16"/>
          <w:szCs w:val="16"/>
        </w:rPr>
        <w:t xml:space="preserve"> del actual Plan Nacional de Derechos Humanos hasta el 2021, que </w:t>
      </w:r>
      <w:proofErr w:type="spellStart"/>
      <w:r w:rsidRPr="002D7B1A">
        <w:rPr>
          <w:rFonts w:ascii="Times New Roman" w:hAnsi="Times New Roman" w:cs="Times New Roman"/>
          <w:sz w:val="16"/>
          <w:szCs w:val="16"/>
        </w:rPr>
        <w:t>plantea</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como</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acción</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estratégica</w:t>
      </w:r>
      <w:proofErr w:type="spellEnd"/>
      <w:r w:rsidRPr="002D7B1A">
        <w:rPr>
          <w:rFonts w:ascii="Times New Roman" w:hAnsi="Times New Roman" w:cs="Times New Roman"/>
          <w:sz w:val="16"/>
          <w:szCs w:val="16"/>
        </w:rPr>
        <w:t xml:space="preserve"> el </w:t>
      </w:r>
      <w:proofErr w:type="spellStart"/>
      <w:r w:rsidRPr="002D7B1A">
        <w:rPr>
          <w:rFonts w:ascii="Times New Roman" w:hAnsi="Times New Roman" w:cs="Times New Roman"/>
          <w:sz w:val="16"/>
          <w:szCs w:val="16"/>
        </w:rPr>
        <w:t>acompañamiento</w:t>
      </w:r>
      <w:proofErr w:type="spellEnd"/>
      <w:r w:rsidRPr="002D7B1A">
        <w:rPr>
          <w:rFonts w:ascii="Times New Roman" w:hAnsi="Times New Roman" w:cs="Times New Roman"/>
          <w:sz w:val="16"/>
          <w:szCs w:val="16"/>
        </w:rPr>
        <w:t xml:space="preserve"> de los </w:t>
      </w:r>
      <w:proofErr w:type="spellStart"/>
      <w:r w:rsidRPr="002D7B1A">
        <w:rPr>
          <w:rFonts w:ascii="Times New Roman" w:hAnsi="Times New Roman" w:cs="Times New Roman"/>
          <w:sz w:val="16"/>
          <w:szCs w:val="16"/>
        </w:rPr>
        <w:t>procesos</w:t>
      </w:r>
      <w:proofErr w:type="spellEnd"/>
      <w:r w:rsidRPr="002D7B1A">
        <w:rPr>
          <w:rFonts w:ascii="Times New Roman" w:hAnsi="Times New Roman" w:cs="Times New Roman"/>
          <w:sz w:val="16"/>
          <w:szCs w:val="16"/>
        </w:rPr>
        <w:t xml:space="preserve"> de </w:t>
      </w:r>
      <w:proofErr w:type="spellStart"/>
      <w:r w:rsidRPr="002D7B1A">
        <w:rPr>
          <w:rFonts w:ascii="Times New Roman" w:hAnsi="Times New Roman" w:cs="Times New Roman"/>
          <w:sz w:val="16"/>
          <w:szCs w:val="16"/>
        </w:rPr>
        <w:t>reconocimiento</w:t>
      </w:r>
      <w:proofErr w:type="spellEnd"/>
      <w:r w:rsidRPr="002D7B1A">
        <w:rPr>
          <w:rFonts w:ascii="Times New Roman" w:hAnsi="Times New Roman" w:cs="Times New Roman"/>
          <w:sz w:val="16"/>
          <w:szCs w:val="16"/>
        </w:rPr>
        <w:t xml:space="preserve"> de la </w:t>
      </w:r>
      <w:proofErr w:type="spellStart"/>
      <w:r w:rsidRPr="002D7B1A">
        <w:rPr>
          <w:rFonts w:ascii="Times New Roman" w:hAnsi="Times New Roman" w:cs="Times New Roman"/>
          <w:sz w:val="16"/>
          <w:szCs w:val="16"/>
        </w:rPr>
        <w:t>identidad</w:t>
      </w:r>
      <w:proofErr w:type="spellEnd"/>
      <w:r w:rsidRPr="002D7B1A">
        <w:rPr>
          <w:rFonts w:ascii="Times New Roman" w:hAnsi="Times New Roman" w:cs="Times New Roman"/>
          <w:sz w:val="16"/>
          <w:szCs w:val="16"/>
        </w:rPr>
        <w:t xml:space="preserve"> de </w:t>
      </w:r>
      <w:proofErr w:type="spellStart"/>
      <w:r w:rsidRPr="002D7B1A">
        <w:rPr>
          <w:rFonts w:ascii="Times New Roman" w:hAnsi="Times New Roman" w:cs="Times New Roman"/>
          <w:sz w:val="16"/>
          <w:szCs w:val="16"/>
        </w:rPr>
        <w:t>género</w:t>
      </w:r>
      <w:proofErr w:type="spellEnd"/>
      <w:r w:rsidRPr="002D7B1A">
        <w:rPr>
          <w:rFonts w:ascii="Times New Roman" w:hAnsi="Times New Roman" w:cs="Times New Roman"/>
          <w:sz w:val="16"/>
          <w:szCs w:val="16"/>
        </w:rPr>
        <w:t xml:space="preserve"> de las personas trans </w:t>
      </w:r>
      <w:proofErr w:type="spellStart"/>
      <w:r w:rsidRPr="002D7B1A">
        <w:rPr>
          <w:rFonts w:ascii="Times New Roman" w:hAnsi="Times New Roman" w:cs="Times New Roman"/>
          <w:sz w:val="16"/>
          <w:szCs w:val="16"/>
        </w:rPr>
        <w:t>en</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su</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documento</w:t>
      </w:r>
      <w:proofErr w:type="spellEnd"/>
      <w:r w:rsidRPr="002D7B1A">
        <w:rPr>
          <w:rFonts w:ascii="Times New Roman" w:hAnsi="Times New Roman" w:cs="Times New Roman"/>
          <w:sz w:val="16"/>
          <w:szCs w:val="16"/>
        </w:rPr>
        <w:t xml:space="preserve"> de </w:t>
      </w:r>
      <w:proofErr w:type="spellStart"/>
      <w:r w:rsidRPr="002D7B1A">
        <w:rPr>
          <w:rFonts w:ascii="Times New Roman" w:hAnsi="Times New Roman" w:cs="Times New Roman"/>
          <w:sz w:val="16"/>
          <w:szCs w:val="16"/>
        </w:rPr>
        <w:t>identidad</w:t>
      </w:r>
      <w:proofErr w:type="spellEnd"/>
      <w:r w:rsidRPr="002D7B1A">
        <w:rPr>
          <w:rFonts w:ascii="Times New Roman" w:hAnsi="Times New Roman" w:cs="Times New Roman"/>
          <w:sz w:val="16"/>
          <w:szCs w:val="16"/>
        </w:rPr>
        <w:t>.</w:t>
      </w:r>
    </w:p>
  </w:endnote>
  <w:endnote w:id="35">
    <w:p w14:paraId="4616FE1F" w14:textId="7C9F520B" w:rsidR="002D7B1A" w:rsidRPr="002D7B1A" w:rsidRDefault="002D7B1A"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PROMSE. Informe de Derechos Humanos de las personas TLGB. 2012.</w:t>
      </w:r>
    </w:p>
  </w:endnote>
  <w:endnote w:id="36">
    <w:p w14:paraId="54B46FAB" w14:textId="4C460D33" w:rsidR="002D7B1A" w:rsidRPr="002D7B1A" w:rsidRDefault="002D7B1A"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MINJUS. URL </w:t>
      </w:r>
      <w:hyperlink r:id="rId15" w:history="1">
        <w:r w:rsidRPr="002D7B1A">
          <w:rPr>
            <w:rStyle w:val="Hipervnculo"/>
            <w:rFonts w:ascii="Times New Roman" w:hAnsi="Times New Roman" w:cs="Times New Roman"/>
            <w:sz w:val="16"/>
            <w:szCs w:val="16"/>
          </w:rPr>
          <w:t>https://observatorioderechoshumanos.minjus.gob.pe/wp-content/uploads/2019/03/Informe_CONACOD_Identidad_de_G%C3%A9nero.pdf</w:t>
        </w:r>
      </w:hyperlink>
    </w:p>
  </w:endnote>
  <w:endnote w:id="37">
    <w:p w14:paraId="7A0F3432" w14:textId="482050ED" w:rsidR="002D7B1A" w:rsidRPr="002D7B1A" w:rsidRDefault="002D7B1A" w:rsidP="002D7B1A">
      <w:pPr>
        <w:pStyle w:val="Textonotaalfinal"/>
        <w:jc w:val="both"/>
        <w:rPr>
          <w:rFonts w:ascii="Times New Roman" w:hAnsi="Times New Roman" w:cs="Times New Roman"/>
          <w:sz w:val="16"/>
          <w:szCs w:val="16"/>
          <w:lang w:val="es-ES"/>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COMITÉ DE DERECHOS HUMANOS, </w:t>
      </w:r>
      <w:proofErr w:type="spellStart"/>
      <w:r w:rsidRPr="002D7B1A">
        <w:rPr>
          <w:rFonts w:ascii="Times New Roman" w:hAnsi="Times New Roman" w:cs="Times New Roman"/>
          <w:sz w:val="16"/>
          <w:szCs w:val="16"/>
        </w:rPr>
        <w:t>Observaciones</w:t>
      </w:r>
      <w:proofErr w:type="spellEnd"/>
      <w:r w:rsidRPr="002D7B1A">
        <w:rPr>
          <w:rFonts w:ascii="Times New Roman" w:hAnsi="Times New Roman" w:cs="Times New Roman"/>
          <w:sz w:val="16"/>
          <w:szCs w:val="16"/>
        </w:rPr>
        <w:t xml:space="preserve"> finales </w:t>
      </w:r>
      <w:proofErr w:type="spellStart"/>
      <w:r w:rsidRPr="002D7B1A">
        <w:rPr>
          <w:rFonts w:ascii="Times New Roman" w:hAnsi="Times New Roman" w:cs="Times New Roman"/>
          <w:sz w:val="16"/>
          <w:szCs w:val="16"/>
        </w:rPr>
        <w:t>sobre</w:t>
      </w:r>
      <w:proofErr w:type="spellEnd"/>
      <w:r w:rsidRPr="002D7B1A">
        <w:rPr>
          <w:rFonts w:ascii="Times New Roman" w:hAnsi="Times New Roman" w:cs="Times New Roman"/>
          <w:sz w:val="16"/>
          <w:szCs w:val="16"/>
        </w:rPr>
        <w:t xml:space="preserve"> el quinto </w:t>
      </w:r>
      <w:proofErr w:type="spellStart"/>
      <w:r w:rsidRPr="002D7B1A">
        <w:rPr>
          <w:rFonts w:ascii="Times New Roman" w:hAnsi="Times New Roman" w:cs="Times New Roman"/>
          <w:sz w:val="16"/>
          <w:szCs w:val="16"/>
        </w:rPr>
        <w:t>informe</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periódico</w:t>
      </w:r>
      <w:proofErr w:type="spellEnd"/>
      <w:r w:rsidRPr="002D7B1A">
        <w:rPr>
          <w:rFonts w:ascii="Times New Roman" w:hAnsi="Times New Roman" w:cs="Times New Roman"/>
          <w:sz w:val="16"/>
          <w:szCs w:val="16"/>
        </w:rPr>
        <w:t xml:space="preserve"> del Perú, 2013, CCPR/C/PER/C0/5,párr. 8</w:t>
      </w:r>
    </w:p>
  </w:endnote>
  <w:endnote w:id="38">
    <w:p w14:paraId="60AC3E1E" w14:textId="465094A5" w:rsidR="002D7B1A" w:rsidRPr="008D1E80" w:rsidRDefault="002D7B1A" w:rsidP="002D7B1A">
      <w:pPr>
        <w:pStyle w:val="Textonotaalfinal"/>
        <w:jc w:val="both"/>
        <w:rPr>
          <w:rFonts w:ascii="Times New Roman" w:hAnsi="Times New Roman" w:cs="Times New Roman"/>
          <w:sz w:val="16"/>
          <w:szCs w:val="16"/>
          <w:lang w:val="es-CO"/>
        </w:rPr>
      </w:pPr>
      <w:r w:rsidRPr="002D7B1A">
        <w:rPr>
          <w:rStyle w:val="Refdenotaalfinal"/>
          <w:rFonts w:ascii="Times New Roman" w:hAnsi="Times New Roman" w:cs="Times New Roman"/>
          <w:sz w:val="16"/>
          <w:szCs w:val="16"/>
        </w:rPr>
        <w:endnoteRef/>
      </w:r>
      <w:r w:rsidRPr="002D7B1A">
        <w:rPr>
          <w:rFonts w:ascii="Times New Roman" w:hAnsi="Times New Roman" w:cs="Times New Roman"/>
          <w:sz w:val="16"/>
          <w:szCs w:val="16"/>
          <w:lang w:val="es-CO"/>
        </w:rPr>
        <w:t xml:space="preserve"> </w:t>
      </w:r>
      <w:r w:rsidRPr="002D7B1A">
        <w:rPr>
          <w:rFonts w:ascii="Times New Roman" w:hAnsi="Times New Roman" w:cs="Times New Roman"/>
          <w:sz w:val="16"/>
          <w:szCs w:val="16"/>
        </w:rPr>
        <w:t xml:space="preserve">COMITÉ CONTRA LA TORTURA, </w:t>
      </w:r>
      <w:proofErr w:type="spellStart"/>
      <w:r w:rsidRPr="002D7B1A">
        <w:rPr>
          <w:rFonts w:ascii="Times New Roman" w:hAnsi="Times New Roman" w:cs="Times New Roman"/>
          <w:sz w:val="16"/>
          <w:szCs w:val="16"/>
        </w:rPr>
        <w:t>Observaciones</w:t>
      </w:r>
      <w:proofErr w:type="spellEnd"/>
      <w:r w:rsidRPr="002D7B1A">
        <w:rPr>
          <w:rFonts w:ascii="Times New Roman" w:hAnsi="Times New Roman" w:cs="Times New Roman"/>
          <w:sz w:val="16"/>
          <w:szCs w:val="16"/>
        </w:rPr>
        <w:t xml:space="preserve"> finales </w:t>
      </w:r>
      <w:proofErr w:type="spellStart"/>
      <w:r w:rsidRPr="002D7B1A">
        <w:rPr>
          <w:rFonts w:ascii="Times New Roman" w:hAnsi="Times New Roman" w:cs="Times New Roman"/>
          <w:sz w:val="16"/>
          <w:szCs w:val="16"/>
        </w:rPr>
        <w:t>sobre</w:t>
      </w:r>
      <w:proofErr w:type="spellEnd"/>
      <w:r w:rsidRPr="002D7B1A">
        <w:rPr>
          <w:rFonts w:ascii="Times New Roman" w:hAnsi="Times New Roman" w:cs="Times New Roman"/>
          <w:sz w:val="16"/>
          <w:szCs w:val="16"/>
        </w:rPr>
        <w:t xml:space="preserve"> los </w:t>
      </w:r>
      <w:proofErr w:type="spellStart"/>
      <w:r w:rsidRPr="002D7B1A">
        <w:rPr>
          <w:rFonts w:ascii="Times New Roman" w:hAnsi="Times New Roman" w:cs="Times New Roman"/>
          <w:sz w:val="16"/>
          <w:szCs w:val="16"/>
        </w:rPr>
        <w:t>informes</w:t>
      </w:r>
      <w:proofErr w:type="spellEnd"/>
      <w:r w:rsidRPr="002D7B1A">
        <w:rPr>
          <w:rFonts w:ascii="Times New Roman" w:hAnsi="Times New Roman" w:cs="Times New Roman"/>
          <w:sz w:val="16"/>
          <w:szCs w:val="16"/>
        </w:rPr>
        <w:t xml:space="preserve"> </w:t>
      </w:r>
      <w:proofErr w:type="spellStart"/>
      <w:r w:rsidRPr="002D7B1A">
        <w:rPr>
          <w:rFonts w:ascii="Times New Roman" w:hAnsi="Times New Roman" w:cs="Times New Roman"/>
          <w:sz w:val="16"/>
          <w:szCs w:val="16"/>
        </w:rPr>
        <w:t>periódicos</w:t>
      </w:r>
      <w:proofErr w:type="spellEnd"/>
      <w:r w:rsidRPr="002D7B1A">
        <w:rPr>
          <w:rFonts w:ascii="Times New Roman" w:hAnsi="Times New Roman" w:cs="Times New Roman"/>
          <w:sz w:val="16"/>
          <w:szCs w:val="16"/>
        </w:rPr>
        <w:t xml:space="preserve"> quinto y sexto </w:t>
      </w:r>
      <w:proofErr w:type="spellStart"/>
      <w:r w:rsidRPr="002D7B1A">
        <w:rPr>
          <w:rFonts w:ascii="Times New Roman" w:hAnsi="Times New Roman" w:cs="Times New Roman"/>
          <w:sz w:val="16"/>
          <w:szCs w:val="16"/>
        </w:rPr>
        <w:t>combinados</w:t>
      </w:r>
      <w:proofErr w:type="spellEnd"/>
      <w:r w:rsidRPr="002D7B1A">
        <w:rPr>
          <w:rFonts w:ascii="Times New Roman" w:hAnsi="Times New Roman" w:cs="Times New Roman"/>
          <w:sz w:val="16"/>
          <w:szCs w:val="16"/>
        </w:rPr>
        <w:t xml:space="preserve"> del Perú, 2013, CAT/C/PER/CO/5-6, </w:t>
      </w:r>
      <w:proofErr w:type="spellStart"/>
      <w:r w:rsidRPr="002D7B1A">
        <w:rPr>
          <w:rFonts w:ascii="Times New Roman" w:hAnsi="Times New Roman" w:cs="Times New Roman"/>
          <w:sz w:val="16"/>
          <w:szCs w:val="16"/>
        </w:rPr>
        <w:t>párr</w:t>
      </w:r>
      <w:proofErr w:type="spellEnd"/>
      <w:r w:rsidRPr="002D7B1A">
        <w:rPr>
          <w:rFonts w:ascii="Times New Roman" w:hAnsi="Times New Roman" w:cs="Times New Roman"/>
          <w:sz w:val="16"/>
          <w:szCs w:val="16"/>
        </w:rPr>
        <w:t>. 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BE492" w14:textId="77777777" w:rsidR="007D599A" w:rsidRDefault="007D599A" w:rsidP="00A00151">
      <w:pPr>
        <w:spacing w:after="0" w:line="240" w:lineRule="auto"/>
      </w:pPr>
      <w:r>
        <w:separator/>
      </w:r>
    </w:p>
  </w:footnote>
  <w:footnote w:type="continuationSeparator" w:id="0">
    <w:p w14:paraId="27AE82D9" w14:textId="77777777" w:rsidR="007D599A" w:rsidRDefault="007D599A" w:rsidP="00A00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3337" w14:textId="7E34DA34" w:rsidR="00A00151" w:rsidRDefault="00A00151">
    <w:pPr>
      <w:pStyle w:val="Encabezado"/>
    </w:pPr>
    <w:r>
      <w:rPr>
        <w:noProof/>
        <w:lang w:val="en-GB" w:eastAsia="en-GB"/>
      </w:rPr>
      <w:drawing>
        <wp:inline distT="0" distB="0" distL="0" distR="0" wp14:anchorId="4CA3F48D" wp14:editId="48E9A235">
          <wp:extent cx="1190039" cy="952414"/>
          <wp:effectExtent l="0" t="0" r="0" b="0"/>
          <wp:docPr id="2" name="Picture 2"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5 años Promsex _color con frase sin fondo-06.png"/>
                  <pic:cNvPicPr/>
                </pic:nvPicPr>
                <pic:blipFill>
                  <a:blip r:embed="rId1">
                    <a:extLst>
                      <a:ext uri="{28A0092B-C50C-407E-A947-70E740481C1C}">
                        <a14:useLocalDpi xmlns:a14="http://schemas.microsoft.com/office/drawing/2010/main" val="0"/>
                      </a:ext>
                    </a:extLst>
                  </a:blip>
                  <a:stretch>
                    <a:fillRect/>
                  </a:stretch>
                </pic:blipFill>
                <pic:spPr>
                  <a:xfrm>
                    <a:off x="0" y="0"/>
                    <a:ext cx="1202826" cy="962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29C0"/>
    <w:multiLevelType w:val="hybridMultilevel"/>
    <w:tmpl w:val="C2887C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80E1614"/>
    <w:multiLevelType w:val="hybridMultilevel"/>
    <w:tmpl w:val="318A0C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7FC3862"/>
    <w:multiLevelType w:val="hybridMultilevel"/>
    <w:tmpl w:val="A002EB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38B6159"/>
    <w:multiLevelType w:val="hybridMultilevel"/>
    <w:tmpl w:val="A88EEC0C"/>
    <w:lvl w:ilvl="0" w:tplc="3E4E7F54">
      <w:start w:val="1"/>
      <w:numFmt w:val="decimal"/>
      <w:lvlText w:val="%1."/>
      <w:lvlJc w:val="left"/>
      <w:pPr>
        <w:ind w:left="720" w:hanging="360"/>
      </w:pPr>
      <w:rPr>
        <w:rFonts w:ascii="Times New Roman" w:hAnsi="Times New Roman" w:cs="Times New Roman" w:hint="default"/>
        <w:b w:val="0"/>
        <w:bCs/>
        <w:i w:val="0"/>
        <w:iCs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101230A"/>
    <w:multiLevelType w:val="hybridMultilevel"/>
    <w:tmpl w:val="E2C06C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7642625"/>
    <w:multiLevelType w:val="hybridMultilevel"/>
    <w:tmpl w:val="EAA8ABEE"/>
    <w:lvl w:ilvl="0" w:tplc="DDE2A4B2">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51"/>
    <w:rsid w:val="00012984"/>
    <w:rsid w:val="00056135"/>
    <w:rsid w:val="000A78EB"/>
    <w:rsid w:val="000F7A79"/>
    <w:rsid w:val="00103F24"/>
    <w:rsid w:val="00115E43"/>
    <w:rsid w:val="001440AD"/>
    <w:rsid w:val="00181690"/>
    <w:rsid w:val="001868D1"/>
    <w:rsid w:val="001906F9"/>
    <w:rsid w:val="0019247A"/>
    <w:rsid w:val="001949A0"/>
    <w:rsid w:val="001A146F"/>
    <w:rsid w:val="001A1AD4"/>
    <w:rsid w:val="001B1BE2"/>
    <w:rsid w:val="001E5C55"/>
    <w:rsid w:val="002116E0"/>
    <w:rsid w:val="002C3D6D"/>
    <w:rsid w:val="002D7B1A"/>
    <w:rsid w:val="002E634C"/>
    <w:rsid w:val="002F21B2"/>
    <w:rsid w:val="00310971"/>
    <w:rsid w:val="003871CD"/>
    <w:rsid w:val="00396676"/>
    <w:rsid w:val="003B32FB"/>
    <w:rsid w:val="003C1265"/>
    <w:rsid w:val="003C3DF2"/>
    <w:rsid w:val="003E6226"/>
    <w:rsid w:val="003F1014"/>
    <w:rsid w:val="004438AF"/>
    <w:rsid w:val="0046591A"/>
    <w:rsid w:val="004B3078"/>
    <w:rsid w:val="004D269C"/>
    <w:rsid w:val="00501CFA"/>
    <w:rsid w:val="00516944"/>
    <w:rsid w:val="005346D8"/>
    <w:rsid w:val="005621E7"/>
    <w:rsid w:val="005E6F3A"/>
    <w:rsid w:val="0062200A"/>
    <w:rsid w:val="00625DED"/>
    <w:rsid w:val="00632AEF"/>
    <w:rsid w:val="006675E0"/>
    <w:rsid w:val="00676008"/>
    <w:rsid w:val="006D16E6"/>
    <w:rsid w:val="006E1F5C"/>
    <w:rsid w:val="0073175F"/>
    <w:rsid w:val="00734B27"/>
    <w:rsid w:val="00735583"/>
    <w:rsid w:val="00755B04"/>
    <w:rsid w:val="007711CB"/>
    <w:rsid w:val="007C1559"/>
    <w:rsid w:val="007D599A"/>
    <w:rsid w:val="007E22B6"/>
    <w:rsid w:val="00802E8B"/>
    <w:rsid w:val="00810216"/>
    <w:rsid w:val="008173F6"/>
    <w:rsid w:val="008218F2"/>
    <w:rsid w:val="00832048"/>
    <w:rsid w:val="0085452B"/>
    <w:rsid w:val="00875629"/>
    <w:rsid w:val="00881153"/>
    <w:rsid w:val="008A20B2"/>
    <w:rsid w:val="00930F1E"/>
    <w:rsid w:val="00956551"/>
    <w:rsid w:val="00961C55"/>
    <w:rsid w:val="009A5336"/>
    <w:rsid w:val="009B2C68"/>
    <w:rsid w:val="009B58A1"/>
    <w:rsid w:val="009D328E"/>
    <w:rsid w:val="009D5134"/>
    <w:rsid w:val="009E5189"/>
    <w:rsid w:val="00A00151"/>
    <w:rsid w:val="00A223A6"/>
    <w:rsid w:val="00A47FF1"/>
    <w:rsid w:val="00A766BC"/>
    <w:rsid w:val="00AB77AE"/>
    <w:rsid w:val="00AF6DF6"/>
    <w:rsid w:val="00B060A5"/>
    <w:rsid w:val="00B31C3B"/>
    <w:rsid w:val="00B552F3"/>
    <w:rsid w:val="00B804C4"/>
    <w:rsid w:val="00BB21A4"/>
    <w:rsid w:val="00BC12E2"/>
    <w:rsid w:val="00BD0F96"/>
    <w:rsid w:val="00BD1A29"/>
    <w:rsid w:val="00BE2786"/>
    <w:rsid w:val="00BE297E"/>
    <w:rsid w:val="00BE68F9"/>
    <w:rsid w:val="00C24EA1"/>
    <w:rsid w:val="00C65F3F"/>
    <w:rsid w:val="00C92568"/>
    <w:rsid w:val="00C9397A"/>
    <w:rsid w:val="00CD5041"/>
    <w:rsid w:val="00CE0D97"/>
    <w:rsid w:val="00CF6F94"/>
    <w:rsid w:val="00D12DA2"/>
    <w:rsid w:val="00D22AEE"/>
    <w:rsid w:val="00D359C5"/>
    <w:rsid w:val="00D64B2E"/>
    <w:rsid w:val="00D808A4"/>
    <w:rsid w:val="00D963A9"/>
    <w:rsid w:val="00DA372E"/>
    <w:rsid w:val="00DB35C4"/>
    <w:rsid w:val="00DE340D"/>
    <w:rsid w:val="00DE467F"/>
    <w:rsid w:val="00DF30F9"/>
    <w:rsid w:val="00DF7065"/>
    <w:rsid w:val="00E06639"/>
    <w:rsid w:val="00E2113C"/>
    <w:rsid w:val="00E31E71"/>
    <w:rsid w:val="00E45BAC"/>
    <w:rsid w:val="00E6049A"/>
    <w:rsid w:val="00E833B8"/>
    <w:rsid w:val="00E87B6A"/>
    <w:rsid w:val="00E96DFC"/>
    <w:rsid w:val="00EB69AA"/>
    <w:rsid w:val="00EE1AB3"/>
    <w:rsid w:val="00F11236"/>
    <w:rsid w:val="00F24853"/>
    <w:rsid w:val="00F507AE"/>
    <w:rsid w:val="00F71536"/>
    <w:rsid w:val="00F92C14"/>
    <w:rsid w:val="00FB2E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F52EE"/>
  <w15:chartTrackingRefBased/>
  <w15:docId w15:val="{5BE8A262-3E18-45DA-B560-97CE75F4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5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00151"/>
    <w:pPr>
      <w:spacing w:after="0" w:line="240" w:lineRule="auto"/>
    </w:pPr>
    <w:rPr>
      <w:lang w:val="en-US"/>
    </w:rPr>
  </w:style>
  <w:style w:type="paragraph" w:styleId="Encabezado">
    <w:name w:val="header"/>
    <w:basedOn w:val="Normal"/>
    <w:link w:val="EncabezadoCar"/>
    <w:uiPriority w:val="99"/>
    <w:unhideWhenUsed/>
    <w:rsid w:val="00A001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0151"/>
  </w:style>
  <w:style w:type="paragraph" w:styleId="Piedepgina">
    <w:name w:val="footer"/>
    <w:basedOn w:val="Normal"/>
    <w:link w:val="PiedepginaCar"/>
    <w:uiPriority w:val="99"/>
    <w:unhideWhenUsed/>
    <w:rsid w:val="00A001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0151"/>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5_G,Car,Geneva 9"/>
    <w:basedOn w:val="Normal"/>
    <w:link w:val="TextonotapieCar"/>
    <w:unhideWhenUsed/>
    <w:qFormat/>
    <w:rsid w:val="00A0015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A00151"/>
    <w:rPr>
      <w:rFonts w:ascii="Times New Roman" w:eastAsia="Times New Roman" w:hAnsi="Times New Roman" w:cs="Times New Roman"/>
      <w:sz w:val="20"/>
      <w:szCs w:val="20"/>
      <w:lang w:val="es-ES" w:eastAsia="es-ES"/>
    </w:rPr>
  </w:style>
  <w:style w:type="character" w:styleId="Refdenotaalpie">
    <w:name w:val="footnote reference"/>
    <w:aliases w:val="Appel note de bas de page,Ref,de nota al pie,Ref. de nota al pie.,sobrescrito,Texto de nota al pie,Footnotes refss,Footnote number,referencia nota al pie,BVI fnr,f,CVR Ref. de nota al pie,4_G,16 Point,Superscript 6 Point,ftr,ftref,f1"/>
    <w:basedOn w:val="Fuentedeprrafopredeter"/>
    <w:link w:val="BVIfnrCar1CarCarCarCar"/>
    <w:unhideWhenUsed/>
    <w:qFormat/>
    <w:rsid w:val="00A00151"/>
    <w:rPr>
      <w:vertAlign w:val="superscript"/>
    </w:rPr>
  </w:style>
  <w:style w:type="character" w:styleId="Hipervnculo">
    <w:name w:val="Hyperlink"/>
    <w:basedOn w:val="Fuentedeprrafopredeter"/>
    <w:uiPriority w:val="99"/>
    <w:unhideWhenUsed/>
    <w:rsid w:val="00A00151"/>
    <w:rPr>
      <w:color w:val="0563C1" w:themeColor="hyperlink"/>
      <w:u w:val="singl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A00151"/>
    <w:pPr>
      <w:spacing w:before="200" w:after="160" w:line="240" w:lineRule="exact"/>
    </w:pPr>
    <w:rPr>
      <w:vertAlign w:val="superscript"/>
    </w:rPr>
  </w:style>
  <w:style w:type="paragraph" w:styleId="Prrafodelista">
    <w:name w:val="List Paragraph"/>
    <w:basedOn w:val="Normal"/>
    <w:uiPriority w:val="34"/>
    <w:qFormat/>
    <w:rsid w:val="00CE0D97"/>
    <w:pPr>
      <w:ind w:left="720"/>
      <w:contextualSpacing/>
    </w:pPr>
  </w:style>
  <w:style w:type="paragraph" w:styleId="Textoindependiente">
    <w:name w:val="Body Text"/>
    <w:basedOn w:val="Normal"/>
    <w:link w:val="TextoindependienteCar"/>
    <w:uiPriority w:val="1"/>
    <w:qFormat/>
    <w:rsid w:val="00CE0D97"/>
    <w:pPr>
      <w:widowControl w:val="0"/>
      <w:autoSpaceDE w:val="0"/>
      <w:autoSpaceDN w:val="0"/>
      <w:spacing w:after="0" w:line="240" w:lineRule="auto"/>
    </w:pPr>
    <w:rPr>
      <w:rFonts w:ascii="Times New Roman" w:eastAsia="Times New Roman" w:hAnsi="Times New Roman" w:cs="Times New Roman"/>
      <w:lang w:val="es-ES" w:eastAsia="es-ES" w:bidi="es-ES"/>
    </w:rPr>
  </w:style>
  <w:style w:type="character" w:customStyle="1" w:styleId="TextoindependienteCar">
    <w:name w:val="Texto independiente Car"/>
    <w:basedOn w:val="Fuentedeprrafopredeter"/>
    <w:link w:val="Textoindependiente"/>
    <w:uiPriority w:val="1"/>
    <w:rsid w:val="00CE0D97"/>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CE0D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D97"/>
    <w:rPr>
      <w:rFonts w:ascii="Segoe UI" w:hAnsi="Segoe UI" w:cs="Segoe UI"/>
      <w:sz w:val="18"/>
      <w:szCs w:val="18"/>
    </w:rPr>
  </w:style>
  <w:style w:type="character" w:customStyle="1" w:styleId="hps">
    <w:name w:val="hps"/>
    <w:basedOn w:val="Fuentedeprrafopredeter"/>
    <w:rsid w:val="00C65F3F"/>
  </w:style>
  <w:style w:type="character" w:styleId="Textoennegrita">
    <w:name w:val="Strong"/>
    <w:basedOn w:val="Fuentedeprrafopredeter"/>
    <w:uiPriority w:val="22"/>
    <w:qFormat/>
    <w:rsid w:val="00516944"/>
    <w:rPr>
      <w:b/>
      <w:bCs/>
    </w:rPr>
  </w:style>
  <w:style w:type="character" w:styleId="nfasis">
    <w:name w:val="Emphasis"/>
    <w:basedOn w:val="Fuentedeprrafopredeter"/>
    <w:uiPriority w:val="20"/>
    <w:qFormat/>
    <w:rsid w:val="0073175F"/>
    <w:rPr>
      <w:i/>
      <w:iCs/>
    </w:rPr>
  </w:style>
  <w:style w:type="paragraph" w:styleId="NormalWeb">
    <w:name w:val="Normal (Web)"/>
    <w:basedOn w:val="Normal"/>
    <w:uiPriority w:val="99"/>
    <w:unhideWhenUsed/>
    <w:rsid w:val="007C155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alfinal">
    <w:name w:val="endnote text"/>
    <w:basedOn w:val="Normal"/>
    <w:link w:val="TextonotaalfinalCar"/>
    <w:uiPriority w:val="99"/>
    <w:unhideWhenUsed/>
    <w:rsid w:val="005621E7"/>
    <w:pPr>
      <w:widowControl w:val="0"/>
      <w:spacing w:after="0" w:line="240" w:lineRule="auto"/>
    </w:pPr>
    <w:rPr>
      <w:sz w:val="20"/>
      <w:szCs w:val="20"/>
      <w:lang w:val="en-US"/>
    </w:rPr>
  </w:style>
  <w:style w:type="character" w:customStyle="1" w:styleId="TextonotaalfinalCar">
    <w:name w:val="Texto nota al final Car"/>
    <w:basedOn w:val="Fuentedeprrafopredeter"/>
    <w:link w:val="Textonotaalfinal"/>
    <w:uiPriority w:val="99"/>
    <w:rsid w:val="005621E7"/>
    <w:rPr>
      <w:sz w:val="20"/>
      <w:szCs w:val="20"/>
      <w:lang w:val="en-US"/>
    </w:rPr>
  </w:style>
  <w:style w:type="character" w:styleId="Refdenotaalfinal">
    <w:name w:val="endnote reference"/>
    <w:basedOn w:val="Fuentedeprrafopredeter"/>
    <w:uiPriority w:val="99"/>
    <w:semiHidden/>
    <w:unhideWhenUsed/>
    <w:rsid w:val="005621E7"/>
    <w:rPr>
      <w:vertAlign w:val="superscript"/>
    </w:rPr>
  </w:style>
  <w:style w:type="character" w:styleId="Mencinsinresolver">
    <w:name w:val="Unresolved Mention"/>
    <w:basedOn w:val="Fuentedeprrafopredeter"/>
    <w:uiPriority w:val="99"/>
    <w:semiHidden/>
    <w:unhideWhenUsed/>
    <w:rsid w:val="002C3D6D"/>
    <w:rPr>
      <w:color w:val="605E5C"/>
      <w:shd w:val="clear" w:color="auto" w:fill="E1DFDD"/>
    </w:rPr>
  </w:style>
  <w:style w:type="character" w:styleId="Refdecomentario">
    <w:name w:val="annotation reference"/>
    <w:basedOn w:val="Fuentedeprrafopredeter"/>
    <w:uiPriority w:val="99"/>
    <w:semiHidden/>
    <w:unhideWhenUsed/>
    <w:rsid w:val="002D7B1A"/>
    <w:rPr>
      <w:sz w:val="16"/>
      <w:szCs w:val="16"/>
    </w:rPr>
  </w:style>
  <w:style w:type="character" w:styleId="Hipervnculovisitado">
    <w:name w:val="FollowedHyperlink"/>
    <w:basedOn w:val="Fuentedeprrafopredeter"/>
    <w:uiPriority w:val="99"/>
    <w:semiHidden/>
    <w:unhideWhenUsed/>
    <w:rsid w:val="00BE2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inei.gob.pe/prensa/noticias/inei-dio-a-conocer-los-resultados-de-la-primera-encuesta-virtual-para-personas-lgtbi-2017-10705/" TargetMode="External"/><Relationship Id="rId13" Type="http://schemas.openxmlformats.org/officeDocument/2006/relationships/hyperlink" Target="http://promsex.org/wp-content/uploads/2018/03/InformeLGBT2018juridico.pdf" TargetMode="External"/><Relationship Id="rId3" Type="http://schemas.openxmlformats.org/officeDocument/2006/relationships/hyperlink" Target="https://www.defensoria.gob.pe/modules/Downloads/informes/defensoriales/Informe-175--Derechos-humanos-de-personas-LGBTI.pdf" TargetMode="External"/><Relationship Id="rId7" Type="http://schemas.openxmlformats.org/officeDocument/2006/relationships/hyperlink" Target="https://www.lamalafe.lat/cuarentena-por-genero-expone-la-transfobia-de-las-fuerzas-del-orden-en-panama-y-peru/" TargetMode="External"/><Relationship Id="rId12" Type="http://schemas.openxmlformats.org/officeDocument/2006/relationships/hyperlink" Target="https://observatorioviolencia.pe/comprendiendo-la-violencia-por-orientacion-sexual-e-identidad-de-genero/" TargetMode="External"/><Relationship Id="rId2" Type="http://schemas.openxmlformats.org/officeDocument/2006/relationships/hyperlink" Target="http://promsex.org/images/docs/Publicaciones/InformeTLGB2015al2016.pdf" TargetMode="External"/><Relationship Id="rId1" Type="http://schemas.openxmlformats.org/officeDocument/2006/relationships/hyperlink" Target="https://conf-dts1.unog.ch/1%20SPA/Tradutek/Derechos_hum_Base/CEDAW/00_4_obs_grales_CEDAW.html" TargetMode="External"/><Relationship Id="rId6" Type="http://schemas.openxmlformats.org/officeDocument/2006/relationships/hyperlink" Target="http://busquedas.elperuano.com.pe/normaslegales/decreto-legislativo-que-fortalece-la-lucha-contra-el-feminic-decreto-legislativo-n-1323-1471010-2/" TargetMode="External"/><Relationship Id="rId11" Type="http://schemas.openxmlformats.org/officeDocument/2006/relationships/hyperlink" Target="https://portalestadistico.pe/tipos-de-poblacion-2019/" TargetMode="External"/><Relationship Id="rId5" Type="http://schemas.openxmlformats.org/officeDocument/2006/relationships/hyperlink" Target="http://www.oas.org/es/cidh/prensa/comunicados/2018/189.asp" TargetMode="External"/><Relationship Id="rId15" Type="http://schemas.openxmlformats.org/officeDocument/2006/relationships/hyperlink" Target="https://observatorioderechoshumanos.minjus.gob.pe/wp-content/uploads/2019/03/Informe_CONACOD_Identidad_de_G%C3%A9nero.pdf" TargetMode="External"/><Relationship Id="rId10" Type="http://schemas.openxmlformats.org/officeDocument/2006/relationships/hyperlink" Target="https://www.mimp.gob.pe/files/programas_nacionales/pncvfs/estadistica/boletin_diciembre_2018/BV_Diciembre_2018.pdf" TargetMode="External"/><Relationship Id="rId4" Type="http://schemas.openxmlformats.org/officeDocument/2006/relationships/hyperlink" Target="https://www.oas.org/es/cidh/decisiones/2014/PEADP446-09ES.pdf" TargetMode="External"/><Relationship Id="rId9" Type="http://schemas.openxmlformats.org/officeDocument/2006/relationships/hyperlink" Target="https://observatorioviolencia.pe/comprendiendo-la-violencia-por-orientacion-sexual-e-identidad-de-genero/" TargetMode="External"/><Relationship Id="rId14" Type="http://schemas.openxmlformats.org/officeDocument/2006/relationships/hyperlink" Target="https://observatorioderechoshumanos.minjus.gob.pe/wp-content/uploads/2019/03/Informe_CONACOD_Identidad_de_G%C3%A9ne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B3F94-F20D-4B63-9FC7-83236D018F61}">
  <ds:schemaRefs>
    <ds:schemaRef ds:uri="http://schemas.openxmlformats.org/officeDocument/2006/bibliography"/>
  </ds:schemaRefs>
</ds:datastoreItem>
</file>

<file path=customXml/itemProps2.xml><?xml version="1.0" encoding="utf-8"?>
<ds:datastoreItem xmlns:ds="http://schemas.openxmlformats.org/officeDocument/2006/customXml" ds:itemID="{40878898-CDFF-4E15-BBB1-AB5920DE042F}"/>
</file>

<file path=customXml/itemProps3.xml><?xml version="1.0" encoding="utf-8"?>
<ds:datastoreItem xmlns:ds="http://schemas.openxmlformats.org/officeDocument/2006/customXml" ds:itemID="{83355D7C-28B3-423F-A217-FB8F12F7F6BE}"/>
</file>

<file path=customXml/itemProps4.xml><?xml version="1.0" encoding="utf-8"?>
<ds:datastoreItem xmlns:ds="http://schemas.openxmlformats.org/officeDocument/2006/customXml" ds:itemID="{932BDA50-822F-4786-97D0-65B740BAC14B}"/>
</file>

<file path=docProps/app.xml><?xml version="1.0" encoding="utf-8"?>
<Properties xmlns="http://schemas.openxmlformats.org/officeDocument/2006/extended-properties" xmlns:vt="http://schemas.openxmlformats.org/officeDocument/2006/docPropsVTypes">
  <Template>Normal</Template>
  <TotalTime>6</TotalTime>
  <Pages>8</Pages>
  <Words>3175</Words>
  <Characters>17463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Liurka Otsuka</dc:creator>
  <cp:keywords/>
  <dc:description/>
  <cp:lastModifiedBy>Rossina Guerrero</cp:lastModifiedBy>
  <cp:revision>5</cp:revision>
  <dcterms:created xsi:type="dcterms:W3CDTF">2020-06-15T17:10:00Z</dcterms:created>
  <dcterms:modified xsi:type="dcterms:W3CDTF">2020-06-15T17:15:00Z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